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280"/>
      </w:pPr>
      <w:r>
        <w:rPr>
          <w:b/>
          <w:bCs/>
        </w:rPr>
        <w:t xml:space="preserve">وثيقة متطلبات المنتج (PRD) — MediaBrain Media Intelligence Hub</w:t>
      </w:r>
    </w:p>
    <w:p>
      <w:pPr>
        <w:spacing w:after="160"/>
      </w:pPr>
      <w:r>
        <w:rPr>
          <w:sz w:val="22"/>
          <w:szCs w:val="22"/>
        </w:rPr>
        <w:t xml:space="preserve">مُعدّة لـ: Brandel Co. ومحفظة عملائها · مرجع سوقي: Egypt Media Monitor (خدمات مراقبة متواضعة) · إعداد: Brandel Co. · commercial@brandel.com · الإصدار 1.0 (مسودة للنقاش) — أغسطس 2026</w:t>
      </w:r>
    </w:p>
    <w:p>
      <w:pPr>
        <w:pStyle w:val="Heading1"/>
        <w:spacing w:after="160" w:before="280"/>
      </w:pPr>
      <w:r>
        <w:rPr>
          <w:b/>
          <w:bCs/>
        </w:rPr>
        <w:t xml:space="preserve">1. ضبط الوثيقة (Document Control)</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4500"/>
            <w:tcBorders>
              <w:top w:val="single" w:color="CCCCCC" w:sz="4"/>
              <w:left w:val="single" w:color="CCCCCC" w:sz="4"/>
              <w:bottom w:val="single" w:color="CCCCCC" w:sz="4"/>
              <w:right w:val="single" w:color="CCCCCC" w:sz="4"/>
            </w:tcBorders>
          </w:tcPr>
          <w:p>
            <w:r>
              <w:rPr>
                <w:b/>
                <w:bCs/>
                <w:sz w:val="18"/>
                <w:szCs w:val="18"/>
              </w:rPr>
              <w:t xml:space="preserve">الحقل</w:t>
            </w:r>
          </w:p>
        </w:tc>
        <w:tc>
          <w:tcPr>
            <w:tcW w:type="dxa" w:w="4500"/>
            <w:tcBorders>
              <w:top w:val="single" w:color="CCCCCC" w:sz="4"/>
              <w:left w:val="single" w:color="CCCCCC" w:sz="4"/>
              <w:bottom w:val="single" w:color="CCCCCC" w:sz="4"/>
              <w:right w:val="single" w:color="CCCCCC" w:sz="4"/>
            </w:tcBorders>
          </w:tcPr>
          <w:p>
            <w:r>
              <w:rPr>
                <w:b/>
                <w:bCs/>
                <w:sz w:val="18"/>
                <w:szCs w:val="18"/>
              </w:rPr>
              <w:t xml:space="preserve">القيمة</w:t>
            </w:r>
          </w:p>
        </w:tc>
      </w:tr>
      <w:tr>
        <w:tc>
          <w:tcPr>
            <w:tcW w:type="dxa" w:w="4500"/>
            <w:tcBorders>
              <w:top w:val="single" w:color="CCCCCC" w:sz="4"/>
              <w:left w:val="single" w:color="CCCCCC" w:sz="4"/>
              <w:bottom w:val="single" w:color="CCCCCC" w:sz="4"/>
              <w:right w:val="single" w:color="CCCCCC" w:sz="4"/>
            </w:tcBorders>
          </w:tcPr>
          <w:p>
            <w:r>
              <w:rPr>
                <w:sz w:val="18"/>
                <w:szCs w:val="18"/>
              </w:rPr>
              <w:t xml:space="preserve">عنوان الوثيقة</w:t>
            </w:r>
          </w:p>
        </w:tc>
        <w:tc>
          <w:tcPr>
            <w:tcW w:type="dxa" w:w="4500"/>
            <w:tcBorders>
              <w:top w:val="single" w:color="CCCCCC" w:sz="4"/>
              <w:left w:val="single" w:color="CCCCCC" w:sz="4"/>
              <w:bottom w:val="single" w:color="CCCCCC" w:sz="4"/>
              <w:right w:val="single" w:color="CCCCCC" w:sz="4"/>
            </w:tcBorders>
          </w:tcPr>
          <w:p>
            <w:r>
              <w:rPr>
                <w:sz w:val="18"/>
                <w:szCs w:val="18"/>
              </w:rPr>
              <w:t xml:space="preserve">PRD — MediaBrain Media Intelligence Hub</w:t>
            </w:r>
          </w:p>
        </w:tc>
      </w:tr>
      <w:tr>
        <w:tc>
          <w:tcPr>
            <w:tcW w:type="dxa" w:w="4500"/>
            <w:tcBorders>
              <w:top w:val="single" w:color="CCCCCC" w:sz="4"/>
              <w:left w:val="single" w:color="CCCCCC" w:sz="4"/>
              <w:bottom w:val="single" w:color="CCCCCC" w:sz="4"/>
              <w:right w:val="single" w:color="CCCCCC" w:sz="4"/>
            </w:tcBorders>
          </w:tcPr>
          <w:p>
            <w:r>
              <w:rPr>
                <w:sz w:val="18"/>
                <w:szCs w:val="18"/>
              </w:rPr>
              <w:t xml:space="preserve">مُعدّة لـ</w:t>
            </w:r>
          </w:p>
        </w:tc>
        <w:tc>
          <w:tcPr>
            <w:tcW w:type="dxa" w:w="4500"/>
            <w:tcBorders>
              <w:top w:val="single" w:color="CCCCCC" w:sz="4"/>
              <w:left w:val="single" w:color="CCCCCC" w:sz="4"/>
              <w:bottom w:val="single" w:color="CCCCCC" w:sz="4"/>
              <w:right w:val="single" w:color="CCCCCC" w:sz="4"/>
            </w:tcBorders>
          </w:tcPr>
          <w:p>
            <w:r>
              <w:rPr>
                <w:sz w:val="18"/>
                <w:szCs w:val="18"/>
              </w:rPr>
              <w:t xml:space="preserve">Brandel Co. ومحفظة عملائها</w:t>
            </w:r>
          </w:p>
        </w:tc>
      </w:tr>
      <w:tr>
        <w:tc>
          <w:tcPr>
            <w:tcW w:type="dxa" w:w="4500"/>
            <w:tcBorders>
              <w:top w:val="single" w:color="CCCCCC" w:sz="4"/>
              <w:left w:val="single" w:color="CCCCCC" w:sz="4"/>
              <w:bottom w:val="single" w:color="CCCCCC" w:sz="4"/>
              <w:right w:val="single" w:color="CCCCCC" w:sz="4"/>
            </w:tcBorders>
          </w:tcPr>
          <w:p>
            <w:r>
              <w:rPr>
                <w:sz w:val="18"/>
                <w:szCs w:val="18"/>
              </w:rPr>
              <w:t xml:space="preserve">مُعدّة بواسطة</w:t>
            </w:r>
          </w:p>
        </w:tc>
        <w:tc>
          <w:tcPr>
            <w:tcW w:type="dxa" w:w="4500"/>
            <w:tcBorders>
              <w:top w:val="single" w:color="CCCCCC" w:sz="4"/>
              <w:left w:val="single" w:color="CCCCCC" w:sz="4"/>
              <w:bottom w:val="single" w:color="CCCCCC" w:sz="4"/>
              <w:right w:val="single" w:color="CCCCCC" w:sz="4"/>
            </w:tcBorders>
          </w:tcPr>
          <w:p>
            <w:r>
              <w:rPr>
                <w:sz w:val="18"/>
                <w:szCs w:val="18"/>
              </w:rPr>
              <w:t xml:space="preserve">Brandel Co. · commercial@brandel.com</w:t>
            </w:r>
          </w:p>
        </w:tc>
      </w:tr>
      <w:tr>
        <w:tc>
          <w:tcPr>
            <w:tcW w:type="dxa" w:w="4500"/>
            <w:tcBorders>
              <w:top w:val="single" w:color="CCCCCC" w:sz="4"/>
              <w:left w:val="single" w:color="CCCCCC" w:sz="4"/>
              <w:bottom w:val="single" w:color="CCCCCC" w:sz="4"/>
              <w:right w:val="single" w:color="CCCCCC" w:sz="4"/>
            </w:tcBorders>
          </w:tcPr>
          <w:p>
            <w:r>
              <w:rPr>
                <w:sz w:val="18"/>
                <w:szCs w:val="18"/>
              </w:rPr>
              <w:t xml:space="preserve">المرافقة</w:t>
            </w:r>
          </w:p>
        </w:tc>
        <w:tc>
          <w:tcPr>
            <w:tcW w:type="dxa" w:w="4500"/>
            <w:tcBorders>
              <w:top w:val="single" w:color="CCCCCC" w:sz="4"/>
              <w:left w:val="single" w:color="CCCCCC" w:sz="4"/>
              <w:bottom w:val="single" w:color="CCCCCC" w:sz="4"/>
              <w:right w:val="single" w:color="CCCCCC" w:sz="4"/>
            </w:tcBorders>
          </w:tcPr>
          <w:p>
            <w:r>
              <w:rPr>
                <w:sz w:val="18"/>
                <w:szCs w:val="18"/>
              </w:rPr>
              <w:t xml:space="preserve">دراسة الجدوى — MediaBrain (v1.0)</w:t>
            </w:r>
          </w:p>
        </w:tc>
      </w:tr>
      <w:tr>
        <w:tc>
          <w:tcPr>
            <w:tcW w:type="dxa" w:w="4500"/>
            <w:tcBorders>
              <w:top w:val="single" w:color="CCCCCC" w:sz="4"/>
              <w:left w:val="single" w:color="CCCCCC" w:sz="4"/>
              <w:bottom w:val="single" w:color="CCCCCC" w:sz="4"/>
              <w:right w:val="single" w:color="CCCCCC" w:sz="4"/>
            </w:tcBorders>
          </w:tcPr>
          <w:p>
            <w:r>
              <w:rPr>
                <w:sz w:val="18"/>
                <w:szCs w:val="18"/>
              </w:rPr>
              <w:t xml:space="preserve">الحالة</w:t>
            </w:r>
          </w:p>
        </w:tc>
        <w:tc>
          <w:tcPr>
            <w:tcW w:type="dxa" w:w="4500"/>
            <w:tcBorders>
              <w:top w:val="single" w:color="CCCCCC" w:sz="4"/>
              <w:left w:val="single" w:color="CCCCCC" w:sz="4"/>
              <w:bottom w:val="single" w:color="CCCCCC" w:sz="4"/>
              <w:right w:val="single" w:color="CCCCCC" w:sz="4"/>
            </w:tcBorders>
          </w:tcPr>
          <w:p>
            <w:r>
              <w:rPr>
                <w:sz w:val="18"/>
                <w:szCs w:val="18"/>
              </w:rPr>
              <w:t xml:space="preserve">مسودة — للنقاش</w:t>
            </w:r>
          </w:p>
        </w:tc>
      </w:tr>
      <w:tr>
        <w:tc>
          <w:tcPr>
            <w:tcW w:type="dxa" w:w="4500"/>
            <w:tcBorders>
              <w:top w:val="single" w:color="CCCCCC" w:sz="4"/>
              <w:left w:val="single" w:color="CCCCCC" w:sz="4"/>
              <w:bottom w:val="single" w:color="CCCCCC" w:sz="4"/>
              <w:right w:val="single" w:color="CCCCCC" w:sz="4"/>
            </w:tcBorders>
          </w:tcPr>
          <w:p>
            <w:r>
              <w:rPr>
                <w:sz w:val="18"/>
                <w:szCs w:val="18"/>
              </w:rPr>
              <w:t xml:space="preserve">الإصدار</w:t>
            </w:r>
          </w:p>
        </w:tc>
        <w:tc>
          <w:tcPr>
            <w:tcW w:type="dxa" w:w="4500"/>
            <w:tcBorders>
              <w:top w:val="single" w:color="CCCCCC" w:sz="4"/>
              <w:left w:val="single" w:color="CCCCCC" w:sz="4"/>
              <w:bottom w:val="single" w:color="CCCCCC" w:sz="4"/>
              <w:right w:val="single" w:color="CCCCCC" w:sz="4"/>
            </w:tcBorders>
          </w:tcPr>
          <w:p>
            <w:r>
              <w:rPr>
                <w:sz w:val="18"/>
                <w:szCs w:val="18"/>
              </w:rPr>
              <w:t xml:space="preserve">1.0</w:t>
            </w:r>
          </w:p>
        </w:tc>
      </w:tr>
      <w:tr>
        <w:tc>
          <w:tcPr>
            <w:tcW w:type="dxa" w:w="4500"/>
            <w:tcBorders>
              <w:top w:val="single" w:color="CCCCCC" w:sz="4"/>
              <w:left w:val="single" w:color="CCCCCC" w:sz="4"/>
              <w:bottom w:val="single" w:color="CCCCCC" w:sz="4"/>
              <w:right w:val="single" w:color="CCCCCC" w:sz="4"/>
            </w:tcBorders>
          </w:tcPr>
          <w:p>
            <w:r>
              <w:rPr>
                <w:sz w:val="18"/>
                <w:szCs w:val="18"/>
              </w:rPr>
              <w:t xml:space="preserve">التاريخ</w:t>
            </w:r>
          </w:p>
        </w:tc>
        <w:tc>
          <w:tcPr>
            <w:tcW w:type="dxa" w:w="4500"/>
            <w:tcBorders>
              <w:top w:val="single" w:color="CCCCCC" w:sz="4"/>
              <w:left w:val="single" w:color="CCCCCC" w:sz="4"/>
              <w:bottom w:val="single" w:color="CCCCCC" w:sz="4"/>
              <w:right w:val="single" w:color="CCCCCC" w:sz="4"/>
            </w:tcBorders>
          </w:tcPr>
          <w:p>
            <w:r>
              <w:rPr>
                <w:sz w:val="18"/>
                <w:szCs w:val="18"/>
              </w:rPr>
              <w:t xml:space="preserve">أغسطس 2026</w:t>
            </w:r>
          </w:p>
        </w:tc>
      </w:tr>
    </w:tbl>
    <w:p>
      <w:pPr>
        <w:spacing w:after="160"/>
      </w:pPr>
      <w:r>
        <w:rPr>
          <w:sz w:val="22"/>
          <w:szCs w:val="22"/>
        </w:rPr>
        <w:t xml:space="preserve"/>
      </w:r>
    </w:p>
    <w:p>
      <w:pPr>
        <w:pStyle w:val="Heading1"/>
        <w:spacing w:after="160" w:before="280"/>
      </w:pPr>
      <w:r>
        <w:rPr>
          <w:b/>
          <w:bCs/>
        </w:rPr>
        <w:t xml:space="preserve">2. الملخص التنفيذي (Executive Summary)</w:t>
      </w:r>
    </w:p>
    <w:p>
      <w:pPr>
        <w:spacing w:after="160"/>
      </w:pPr>
      <w:r>
        <w:rPr>
          <w:sz w:val="22"/>
          <w:szCs w:val="22"/>
        </w:rPr>
        <w:t xml:space="preserve">MediaBrain مستشار إعلام بالذكاء الاصطناعي ثنائي اللغة (AR/EN) ومركز قائم على الأدوار يحوّل مراقبة الصحافة والاستماع الاجتماعي والقصّ البثّي وفهرسة البرامج لدى Brandel إلى إجابات موثّقة ومسودات بيانات لعملاء الشركات وفرق الأزمات ومكاتب الإعلام — على منصة سحابية مدارة مع طبقة موصلات وفهرس إعلام موحّد وتدقيق. يضم المركز مساعدَين: Media Advisor للتحليلات والأسئلة الموثّقة، وStatement Writer للبيانات الصحفية والردود الإعلامية والتواصل الداخلي المستند إلى المصادر نفسها.</w:t>
      </w:r>
    </w:p>
    <w:p>
      <w:pPr>
        <w:pStyle w:val="Heading1"/>
        <w:spacing w:after="160" w:before="280"/>
      </w:pPr>
      <w:r>
        <w:rPr>
          <w:b/>
          <w:bCs/>
        </w:rPr>
        <w:t xml:space="preserve">3. الخلفية (Background)</w:t>
      </w:r>
    </w:p>
    <w:p>
      <w:pPr>
        <w:spacing w:after="160"/>
      </w:pPr>
      <w:r>
        <w:rPr>
          <w:sz w:val="22"/>
          <w:szCs w:val="22"/>
        </w:rPr>
        <w:t xml:space="preserve">خدمات Brandel للذكاء الإعلامي تقع في فئة المراقبة التقليدية التي يمثّلها علنًا لاعبون مثل Egypt Media Monitor (egyptmediamonitor.com): مراقبة صحافة وطنية وقطاعية يومية؛ استماع اجتماعي عبر LinkedIn وX وFacebook وغيرها؛ قصّ بثّي من قنوات الأخبار والبرامج الحوارية؛ موجزات يعدّها المحللون لفرق التواصل والاستجابة للأزمات ومكاتب الإعلام المؤسسية.</w:t>
      </w:r>
    </w:p>
    <w:p>
      <w:pPr>
        <w:spacing w:after="160"/>
      </w:pPr>
      <w:r>
        <w:rPr>
          <w:sz w:val="22"/>
          <w:szCs w:val="22"/>
        </w:rPr>
        <w:t xml:space="preserve">يتوقع العملاء نبضًا أسبوعيًا للقطاع، وتقييمات مشاعر الأزمات، ومقارنات حصة الصوت (SOV)، وحزم إحاطة وزارية، وملخصات برامج، وتنبيهات ساعية عند تجاوز العتبات — كلها مستندة إلى مصادر مراقبة، لا إلى تخمين من الويب المفتوح.</w:t>
      </w:r>
    </w:p>
    <w:p>
      <w:pPr>
        <w:pStyle w:val="Heading1"/>
        <w:spacing w:after="160" w:before="280"/>
      </w:pPr>
      <w:r>
        <w:rPr>
          <w:b/>
          <w:bCs/>
        </w:rPr>
        <w:t xml:space="preserve">3ب. مثال سوقي — خدمات متواضعة (Egypt Media Monitor)</w:t>
      </w:r>
    </w:p>
    <w:p>
      <w:pPr>
        <w:spacing w:after="160"/>
      </w:pPr>
      <w:r>
        <w:rPr>
          <w:sz w:val="22"/>
          <w:szCs w:val="22"/>
        </w:rPr>
        <w:t xml:space="preserve">وفق العرض العام على https://egyptmediamonitor.com/ تقدّم Egypt Media Monitor: Media Monitoring، Social Listening، Press Clipping، Editorial Opinions and Analysis، TV Talk Show Summaries، وMedia Summaries. هذا مستوى خدمات تقليدي ومتواضع نسبيًا مقارنةً بمركز ذكاء موحّد. MediaBrain لا يستبدل قيمة المراقبة والقصّ؛ بل يضيف طبقة قرارات: أسئلة موثّقة، صياغة بيانات، تقارير A4 مجدولة، عزل مستأجرين، وتدقيق.</w:t>
      </w:r>
    </w:p>
    <w:p>
      <w:pPr>
        <w:pStyle w:val="Heading1"/>
        <w:spacing w:after="160" w:before="280"/>
      </w:pPr>
      <w:r>
        <w:rPr>
          <w:b/>
          <w:bCs/>
        </w:rPr>
        <w:t xml:space="preserve">4. المشكلة (Problem)</w:t>
      </w:r>
    </w:p>
    <w:p>
      <w:pPr>
        <w:spacing w:after="160"/>
      </w:pPr>
      <w:r>
        <w:rPr>
          <w:sz w:val="22"/>
          <w:szCs w:val="22"/>
        </w:rPr>
        <w:t xml:space="preserve">تفسير مجزّأ لإشارات الصحافة والتواصل والبث يبطئ فرق تواصل العملاء ويُثقل مكاتب محللي Brandel. اللوحات والنشرات البريدية وحدها لا تقدّم ذكاءً موثّقًا ومخصّصًا بسرعة الحوادث ودورات الإعلام.</w:t>
      </w:r>
    </w:p>
    <w:p>
      <w:pPr>
        <w:pStyle w:val="Heading1"/>
        <w:spacing w:after="160" w:before="280"/>
      </w:pPr>
      <w:r>
        <w:rPr>
          <w:b/>
          <w:bCs/>
        </w:rPr>
        <w:t xml:space="preserve">5. الرؤية / الأهداف (Vision / Objectives)</w:t>
      </w:r>
    </w:p>
    <w:p>
      <w:pPr>
        <w:spacing w:after="80"/>
        <w:ind w:left="360"/>
      </w:pPr>
      <w:r>
        <w:rPr>
          <w:sz w:val="22"/>
          <w:szCs w:val="22"/>
        </w:rPr>
        <w:t xml:space="preserve">• مركز ذكاء إعلامي محكوم واحد تحت Brandel Co.</w:t>
      </w:r>
    </w:p>
    <w:p>
      <w:pPr>
        <w:spacing w:after="80"/>
        <w:ind w:left="360"/>
      </w:pPr>
      <w:r>
        <w:rPr>
          <w:sz w:val="22"/>
          <w:szCs w:val="22"/>
        </w:rPr>
        <w:t xml:space="preserve">• إجابات موثّقة فقط — امتناع عند نقص المصادر.</w:t>
      </w:r>
    </w:p>
    <w:p>
      <w:pPr>
        <w:spacing w:after="80"/>
        <w:ind w:left="360"/>
      </w:pPr>
      <w:r>
        <w:rPr>
          <w:sz w:val="22"/>
          <w:szCs w:val="22"/>
        </w:rPr>
        <w:t xml:space="preserve">• ثلاث طبقات جمهور مع عزل صارم (عميل مؤسسي / فريق أزمة / مكتب إعلام وزاري).</w:t>
      </w:r>
    </w:p>
    <w:p>
      <w:pPr>
        <w:spacing w:after="80"/>
        <w:ind w:left="360"/>
      </w:pPr>
      <w:r>
        <w:rPr>
          <w:sz w:val="22"/>
          <w:szCs w:val="22"/>
        </w:rPr>
        <w:t xml:space="preserve">• استضافة سحابية مدارة وحوكمة موصلات وعمليات معرفة قابلة للتدقيق.</w:t>
      </w:r>
    </w:p>
    <w:p>
      <w:pPr>
        <w:spacing w:after="80"/>
        <w:ind w:left="360"/>
      </w:pPr>
      <w:r>
        <w:rPr>
          <w:sz w:val="22"/>
          <w:szCs w:val="22"/>
        </w:rPr>
        <w:t xml:space="preserve">• مسار واضح من النموذج التجريبي إلى وحدات المستقبل دون مبالغة في نطاق v1.</w:t>
      </w:r>
    </w:p>
    <w:p>
      <w:pPr>
        <w:pStyle w:val="Heading1"/>
        <w:spacing w:after="160" w:before="280"/>
      </w:pPr>
      <w:r>
        <w:rPr>
          <w:b/>
          <w:bCs/>
        </w:rPr>
        <w:t xml:space="preserve">6. المستخدمون المستهدفون (Target Users)</w:t>
      </w:r>
    </w:p>
    <w:p>
      <w:pPr>
        <w:spacing w:after="80"/>
        <w:ind w:left="360"/>
      </w:pPr>
      <w:r>
        <w:rPr>
          <w:sz w:val="22"/>
          <w:szCs w:val="22"/>
        </w:rPr>
        <w:t xml:space="preserve">• فرق تواصل عملاء Brandel — نبض قطاع وSOV وأسئلة حملات مع مساحة خاصة.</w:t>
      </w:r>
    </w:p>
    <w:p>
      <w:pPr>
        <w:spacing w:after="80"/>
        <w:ind w:left="360"/>
      </w:pPr>
      <w:r>
        <w:rPr>
          <w:sz w:val="22"/>
          <w:szCs w:val="22"/>
        </w:rPr>
        <w:t xml:space="preserve">• فرق الأزمات والسمعة — ارتفاعات المشاعر وتتبع السرعة وقوالب التنبيه.</w:t>
      </w:r>
    </w:p>
    <w:p>
      <w:pPr>
        <w:spacing w:after="80"/>
        <w:ind w:left="360"/>
      </w:pPr>
      <w:r>
        <w:rPr>
          <w:sz w:val="22"/>
          <w:szCs w:val="22"/>
        </w:rPr>
        <w:t xml:space="preserve">• مكاتب الإعلام الوزارية والمؤسسية — حزم إحاطة يومية/أسبوعية وملخصات برامج.</w:t>
      </w:r>
    </w:p>
    <w:p>
      <w:pPr>
        <w:spacing w:after="80"/>
        <w:ind w:left="360"/>
      </w:pPr>
      <w:r>
        <w:rPr>
          <w:sz w:val="22"/>
          <w:szCs w:val="22"/>
        </w:rPr>
        <w:t xml:space="preserve">• محللو وعمليات Brandel — صحة الموصلات وانتقاء قاعدة المعرفة ورؤية المحفظة المجهولة.</w:t>
      </w:r>
    </w:p>
    <w:p>
      <w:pPr>
        <w:pStyle w:val="Heading1"/>
        <w:spacing w:after="160" w:before="280"/>
      </w:pPr>
      <w:r>
        <w:rPr>
          <w:b/>
          <w:bCs/>
        </w:rPr>
        <w:t xml:space="preserve">7. النطاق (Scope)</w:t>
      </w:r>
    </w:p>
    <w:p>
      <w:pPr>
        <w:pStyle w:val="Heading2"/>
        <w:spacing w:after="160" w:before="280"/>
      </w:pPr>
      <w:r>
        <w:rPr>
          <w:b/>
          <w:bCs/>
        </w:rPr>
        <w:t xml:space="preserve">ضمن النطاق (In scope · v1)</w:t>
      </w:r>
    </w:p>
    <w:p>
      <w:pPr>
        <w:spacing w:after="80"/>
        <w:ind w:left="360"/>
      </w:pPr>
      <w:r>
        <w:rPr>
          <w:sz w:val="22"/>
          <w:szCs w:val="22"/>
        </w:rPr>
        <w:t xml:space="preserve">• المركز المركزي، فهرس الإعلام الموحّد، المساحات الخاصة، RBAC، التدقيق، انتقاء إداري، بذرة تحليلات مجهولة، واجهة ثنائية اللغة، موصلات صحافة/تواصل/بث.</w:t>
      </w:r>
    </w:p>
    <w:p>
      <w:pPr>
        <w:pStyle w:val="Heading2"/>
        <w:spacing w:after="160" w:before="280"/>
      </w:pPr>
      <w:r>
        <w:rPr>
          <w:b/>
          <w:bCs/>
        </w:rPr>
        <w:t xml:space="preserve">خارج النطاق (Out of scope · v1)</w:t>
      </w:r>
    </w:p>
    <w:p>
      <w:pPr>
        <w:spacing w:after="80"/>
        <w:ind w:left="360"/>
      </w:pPr>
      <w:r>
        <w:rPr>
          <w:sz w:val="22"/>
          <w:szCs w:val="22"/>
        </w:rPr>
        <w:t xml:space="preserve">• نشر بيانات صحفية حي، المدفوعات، استبدال لوحات مراقبة Brandel، الاستناد إلى الويب المفتوح، بيانات خارجية ذاتية، وحدات المستقبل كمنتج حي.</w:t>
      </w:r>
    </w:p>
    <w:p>
      <w:pPr>
        <w:pStyle w:val="Heading2"/>
        <w:spacing w:after="160" w:before="280"/>
      </w:pPr>
      <w:r>
        <w:rPr>
          <w:b/>
          <w:bCs/>
        </w:rPr>
        <w:t xml:space="preserve">شرائح الاشتراك (Indicative — التسعير النهائي في المقترح التقني والمالي)</w:t>
      </w:r>
    </w:p>
    <w:p>
      <w:pPr>
        <w:spacing w:after="80"/>
        <w:ind w:left="360"/>
      </w:pPr>
      <w:r>
        <w:rPr>
          <w:sz w:val="22"/>
          <w:szCs w:val="22"/>
        </w:rPr>
        <w:t xml:space="preserve">• Pilot: USD 800 / ≈ EGP 38,400 شهريًا — 2–3 مساحات، موصلات أساسية، نبض أسبوعي.</w:t>
      </w:r>
    </w:p>
    <w:p>
      <w:pPr>
        <w:spacing w:after="80"/>
        <w:ind w:left="360"/>
      </w:pPr>
      <w:r>
        <w:rPr>
          <w:sz w:val="22"/>
          <w:szCs w:val="22"/>
        </w:rPr>
        <w:t xml:space="preserve">• Standard: USD 1,500 / ≈ EGP 72,000 شهريًا — حتى 10 مساحات، لوحات قطاع، SOV، ملخص برامج، تنبيهات ساعية.</w:t>
      </w:r>
    </w:p>
    <w:p>
      <w:pPr>
        <w:spacing w:after="80"/>
        <w:ind w:left="360"/>
      </w:pPr>
      <w:r>
        <w:rPr>
          <w:sz w:val="22"/>
          <w:szCs w:val="22"/>
        </w:rPr>
        <w:t xml:space="preserve">• Portfolio: USD 2,500+ / ≈ EGP 120,000+ شهريًا — حسابات غير محدودة، تحليلات مجهولة، صحة الموصلات، دعم أولوية.</w:t>
      </w:r>
    </w:p>
    <w:p>
      <w:pPr>
        <w:spacing w:after="160"/>
      </w:pPr>
      <w:r>
        <w:rPr>
          <w:sz w:val="22"/>
          <w:szCs w:val="22"/>
        </w:rPr>
        <w:t xml:space="preserve">ملاحظة: معادلات EGP تستخدم ≈ 48 جنيهًا لكل 1 دولار للتخطيط. يمكن مناقشة مقترح تقني ومالي مفصل لاحقًا أثناء الاكتشاف.</w:t>
      </w:r>
    </w:p>
    <w:p>
      <w:pPr>
        <w:pStyle w:val="Heading1"/>
        <w:spacing w:after="160" w:before="280"/>
      </w:pPr>
      <w:r>
        <w:rPr>
          <w:b/>
          <w:bCs/>
        </w:rPr>
        <w:t xml:space="preserve">8. نظرة على الحل (Solution Overview)</w:t>
      </w:r>
    </w:p>
    <w:p>
      <w:pPr>
        <w:spacing w:after="160"/>
      </w:pPr>
      <w:r>
        <w:rPr>
          <w:sz w:val="22"/>
          <w:szCs w:val="22"/>
        </w:rPr>
        <w:t xml:space="preserve">مركز مركزي (Option A): فهرس إعلام مشترك منتقاً من تغذيات الصحافة واستماع التواصل ونصوص البث وموجزات العملاء؛ كلمات وعتبات خاصة لكل مستأجر؛ إجابات موثّقة باستشهاد إلزامي؛ منصة سحابية مدارة مع طبقة موصلات وتدقيق؛ تحليلات محفظة مجهولة لـ Brandel.</w:t>
      </w:r>
    </w:p>
    <w:p>
      <w:pPr>
        <w:pStyle w:val="Heading2"/>
        <w:spacing w:after="160" w:before="280"/>
      </w:pPr>
      <w:r>
        <w:rPr>
          <w:b/>
          <w:bCs/>
        </w:rPr>
        <w:t xml:space="preserve">8.1 سير العمل التشغيلي (Operational Workflow)</w:t>
      </w:r>
    </w:p>
    <w:p>
      <w:pPr>
        <w:spacing w:after="80"/>
        <w:ind w:left="360"/>
      </w:pPr>
      <w:r>
        <w:rPr>
          <w:sz w:val="22"/>
          <w:szCs w:val="22"/>
        </w:rPr>
        <w:t xml:space="preserve">• الجمهور — عملاء Brandel وفرق الأزمات ومكاتب الإعلام يدخلون عبر صلاحيات الأدوار (RBAC).</w:t>
      </w:r>
    </w:p>
    <w:p>
      <w:pPr>
        <w:spacing w:after="80"/>
        <w:ind w:left="360"/>
      </w:pPr>
      <w:r>
        <w:rPr>
          <w:sz w:val="22"/>
          <w:szCs w:val="22"/>
        </w:rPr>
        <w:t xml:space="preserve">• المركز — العزل؛ Media Advisor وStatement Writer؛ Shared Signal Index؛ Private Workspaces؛ Anonymized Analytics.</w:t>
      </w:r>
    </w:p>
    <w:p>
      <w:pPr>
        <w:spacing w:after="80"/>
        <w:ind w:left="360"/>
      </w:pPr>
      <w:r>
        <w:rPr>
          <w:sz w:val="22"/>
          <w:szCs w:val="22"/>
        </w:rPr>
        <w:t xml:space="preserve">• مصادر محكومة — صحافة وتواصل وبث ومواقع رسمية وقواعد بيانات دولية عبر طبقة الموصلات فقط.</w:t>
      </w:r>
    </w:p>
    <w:p>
      <w:pPr>
        <w:spacing w:after="80"/>
        <w:ind w:left="360"/>
      </w:pPr>
      <w:r>
        <w:rPr>
          <w:sz w:val="22"/>
          <w:szCs w:val="22"/>
        </w:rPr>
        <w:t xml:space="preserve">• عمليات المنصة — تطبيع التغذيات؛ جدولة قوالب A4 ساعية/يومية/أسبوعية؛ سجل تدقيق لكل استعلام ومطابقة.</w:t>
      </w:r>
    </w:p>
    <w:p>
      <w:pPr>
        <w:spacing w:after="80"/>
        <w:ind w:left="360"/>
      </w:pPr>
      <w:r>
        <w:rPr>
          <w:sz w:val="22"/>
          <w:szCs w:val="22"/>
        </w:rPr>
        <w:t xml:space="preserve">• مخرج موثّق — إجابات وحزم إحاطة وتنبيهات باستشهاد إلزامي؛ امتناع عند نقص المصادر المحكومة.</w:t>
      </w:r>
    </w:p>
    <w:p>
      <w:pPr>
        <w:pStyle w:val="Heading1"/>
        <w:spacing w:after="160" w:before="280"/>
      </w:pPr>
      <w:r>
        <w:rPr>
          <w:b/>
          <w:bCs/>
        </w:rPr>
        <w:t xml:space="preserve">9. المتطلبات الوظيفية (Functional Requirements)</w:t>
      </w:r>
    </w:p>
    <w:p>
      <w:pPr>
        <w:spacing w:after="80"/>
        <w:ind w:left="360"/>
      </w:pPr>
      <w:r>
        <w:rPr>
          <w:sz w:val="22"/>
          <w:szCs w:val="22"/>
        </w:rPr>
        <w:t xml:space="preserve">• FR-1 أسئلة وأجوبة موثّقة متعددة اللغات مع استشهاد إلزامي (Multilingual Cited Q&amp;A)</w:t>
      </w:r>
    </w:p>
    <w:p>
      <w:pPr>
        <w:spacing w:after="80"/>
        <w:ind w:left="360"/>
      </w:pPr>
      <w:r>
        <w:rPr>
          <w:sz w:val="22"/>
          <w:szCs w:val="22"/>
        </w:rPr>
        <w:t xml:space="preserve">• FR-2 موجزات نبض القطاع الأسبوعية من سلاسل صحافة/تواصل/بث (بذرة A1)</w:t>
      </w:r>
    </w:p>
    <w:p>
      <w:pPr>
        <w:spacing w:after="80"/>
        <w:ind w:left="360"/>
      </w:pPr>
      <w:r>
        <w:rPr>
          <w:sz w:val="22"/>
          <w:szCs w:val="22"/>
        </w:rPr>
        <w:t xml:space="preserve">• FR-3 إرشاد مشاعر وسرعة الأزمة من التغذيات المراقبة (بذرة B1)</w:t>
      </w:r>
    </w:p>
    <w:p>
      <w:pPr>
        <w:spacing w:after="80"/>
        <w:ind w:left="360"/>
      </w:pPr>
      <w:r>
        <w:rPr>
          <w:sz w:val="22"/>
          <w:szCs w:val="22"/>
        </w:rPr>
        <w:t xml:space="preserve">• FR-4 ملخصات حصة الصوت ومقارنة المنافسين (بذرة A2 · SOV)</w:t>
      </w:r>
    </w:p>
    <w:p>
      <w:pPr>
        <w:spacing w:after="80"/>
        <w:ind w:left="360"/>
      </w:pPr>
      <w:r>
        <w:rPr>
          <w:sz w:val="22"/>
          <w:szCs w:val="22"/>
        </w:rPr>
        <w:t xml:space="preserve">• FR-5 رفع مساحة خاصة (موجزات عميل، كلمات، عتبات تنبيه)</w:t>
      </w:r>
    </w:p>
    <w:p>
      <w:pPr>
        <w:spacing w:after="80"/>
        <w:ind w:left="360"/>
      </w:pPr>
      <w:r>
        <w:rPr>
          <w:sz w:val="22"/>
          <w:szCs w:val="22"/>
        </w:rPr>
        <w:t xml:space="preserve">• FR-6 عزل قائم على الأدوار (Brandel Ops / Client / Ministry Team)</w:t>
      </w:r>
    </w:p>
    <w:p>
      <w:pPr>
        <w:spacing w:after="80"/>
        <w:ind w:left="360"/>
      </w:pPr>
      <w:r>
        <w:rPr>
          <w:sz w:val="22"/>
          <w:szCs w:val="22"/>
        </w:rPr>
        <w:t xml:space="preserve">• FR-7 تحليلات راعي مجهولة لقيادة Brandel (بذرة E1)</w:t>
      </w:r>
    </w:p>
    <w:p>
      <w:pPr>
        <w:spacing w:after="80"/>
        <w:ind w:left="360"/>
      </w:pPr>
      <w:r>
        <w:rPr>
          <w:sz w:val="22"/>
          <w:szCs w:val="22"/>
        </w:rPr>
        <w:t xml:space="preserve">• FR-8 إصدارات المعرفة وتحديث التغذيات (Knowledge Versioning &amp; Feed Refresh)</w:t>
      </w:r>
    </w:p>
    <w:p>
      <w:pPr>
        <w:spacing w:after="80"/>
        <w:ind w:left="360"/>
      </w:pPr>
      <w:r>
        <w:rPr>
          <w:sz w:val="22"/>
          <w:szCs w:val="22"/>
        </w:rPr>
        <w:t xml:space="preserve">• FR-9 امتناع/تصعيد عند غياب مصدر موثوق (Decline/Escalate)</w:t>
      </w:r>
    </w:p>
    <w:p>
      <w:pPr>
        <w:spacing w:after="80"/>
        <w:ind w:left="360"/>
      </w:pPr>
      <w:r>
        <w:rPr>
          <w:sz w:val="22"/>
          <w:szCs w:val="22"/>
        </w:rPr>
        <w:t xml:space="preserve">• FR-10 سجل تدقيق للاستعلامات ومطابقات المصادر (Audit Log)</w:t>
      </w:r>
    </w:p>
    <w:p>
      <w:pPr>
        <w:spacing w:after="80"/>
        <w:ind w:left="360"/>
      </w:pPr>
      <w:r>
        <w:rPr>
          <w:sz w:val="22"/>
          <w:szCs w:val="22"/>
        </w:rPr>
        <w:t xml:space="preserve">• FR-11 لوحة إدارة لفهرس الإعلام وانتقاء الموصلات (Admin Console)</w:t>
      </w:r>
    </w:p>
    <w:p>
      <w:pPr>
        <w:spacing w:after="80"/>
        <w:ind w:left="360"/>
      </w:pPr>
      <w:r>
        <w:rPr>
          <w:sz w:val="22"/>
          <w:szCs w:val="22"/>
        </w:rPr>
        <w:t xml:space="preserve">• FR-12 تصدير موجز / صفحة PDF من إجابة مستندة (بذرة C1/D1)</w:t>
      </w:r>
    </w:p>
    <w:p>
      <w:pPr>
        <w:spacing w:after="80"/>
        <w:ind w:left="360"/>
      </w:pPr>
      <w:r>
        <w:rPr>
          <w:sz w:val="22"/>
          <w:szCs w:val="22"/>
        </w:rPr>
        <w:t xml:space="preserve">• FR-13 Statement Writer — صياغة بيانات صحفية وردود إعلامية وتواصل داخلي من مصادر محكومة مع استشهادات</w:t>
      </w:r>
    </w:p>
    <w:p>
      <w:pPr>
        <w:spacing w:after="80"/>
        <w:ind w:left="360"/>
      </w:pPr>
      <w:r>
        <w:rPr>
          <w:sz w:val="22"/>
          <w:szCs w:val="22"/>
        </w:rPr>
        <w:t xml:space="preserve">• FR-14 تقارير A4 مجدولة للعميل — تقارير يومية/أسبوعية جاهزة للطباعة لكل قطاع (مثل النفط والغاز لـ Petrobel Co.)</w:t>
      </w:r>
    </w:p>
    <w:p>
      <w:pPr>
        <w:pStyle w:val="Heading1"/>
        <w:spacing w:after="160" w:before="280"/>
      </w:pPr>
      <w:r>
        <w:rPr>
          <w:b/>
          <w:bCs/>
        </w:rPr>
        <w:t xml:space="preserve">10. غير الوظيفي (Non-functional)</w:t>
      </w:r>
    </w:p>
    <w:p>
      <w:pPr>
        <w:spacing w:after="80"/>
        <w:ind w:left="360"/>
      </w:pPr>
      <w:r>
        <w:rPr>
          <w:sz w:val="22"/>
          <w:szCs w:val="22"/>
        </w:rPr>
        <w:t xml:space="preserve">• منصة سحابية مدارة مع تشفير مؤسسي وخيارات استضافة إقليمية</w:t>
      </w:r>
    </w:p>
    <w:p>
      <w:pPr>
        <w:spacing w:after="80"/>
        <w:ind w:left="360"/>
      </w:pPr>
      <w:r>
        <w:rPr>
          <w:sz w:val="22"/>
          <w:szCs w:val="22"/>
        </w:rPr>
        <w:t xml:space="preserve">• واجهة عربية وإنجليزية (RTL/LTR)</w:t>
      </w:r>
    </w:p>
    <w:p>
      <w:pPr>
        <w:spacing w:after="80"/>
        <w:ind w:left="360"/>
      </w:pPr>
      <w:r>
        <w:rPr>
          <w:sz w:val="22"/>
          <w:szCs w:val="22"/>
        </w:rPr>
        <w:t xml:space="preserve">• أهداف كمون تفاعلية تُتفق في الاكتشاف</w:t>
      </w:r>
    </w:p>
    <w:p>
      <w:pPr>
        <w:spacing w:after="80"/>
        <w:ind w:left="360"/>
      </w:pPr>
      <w:r>
        <w:rPr>
          <w:sz w:val="22"/>
          <w:szCs w:val="22"/>
        </w:rPr>
        <w:t xml:space="preserve">• مسار تدقيق كامل؛ لا مطابقة مصادر عبر المستأجرين</w:t>
      </w:r>
    </w:p>
    <w:p>
      <w:pPr>
        <w:spacing w:after="80"/>
        <w:ind w:left="360"/>
      </w:pPr>
      <w:r>
        <w:rPr>
          <w:sz w:val="22"/>
          <w:szCs w:val="22"/>
        </w:rPr>
        <w:t xml:space="preserve">• أساس مراقبة صحة الموصلات (بذرة D2)</w:t>
      </w:r>
    </w:p>
    <w:p>
      <w:pPr>
        <w:spacing w:after="80"/>
        <w:ind w:left="360"/>
      </w:pPr>
      <w:r>
        <w:rPr>
          <w:sz w:val="22"/>
          <w:szCs w:val="22"/>
        </w:rPr>
        <w:t xml:space="preserve">• أساس إتاحة للاستخدام المؤسسي (Accessibility)</w:t>
      </w:r>
    </w:p>
    <w:p>
      <w:pPr>
        <w:pStyle w:val="Heading1"/>
        <w:spacing w:after="160" w:before="280"/>
      </w:pPr>
      <w:r>
        <w:rPr>
          <w:b/>
          <w:bCs/>
        </w:rPr>
        <w:t xml:space="preserve">11. قاعدة المعرفة (Knowledge Base)</w:t>
      </w:r>
    </w:p>
    <w:p>
      <w:pPr>
        <w:spacing w:after="80"/>
        <w:ind w:left="360"/>
      </w:pPr>
      <w:r>
        <w:rPr>
          <w:sz w:val="22"/>
          <w:szCs w:val="22"/>
        </w:rPr>
        <w:t xml:space="preserve">• الصحافة (Press): قصاصات وطنية وقطاعية، فهارس عناوين، مجموعات مراقبة في فئة مصر (مرجع سوقي: EMM)</w:t>
      </w:r>
    </w:p>
    <w:p>
      <w:pPr>
        <w:spacing w:after="80"/>
        <w:ind w:left="360"/>
      </w:pPr>
      <w:r>
        <w:rPr>
          <w:sz w:val="22"/>
          <w:szCs w:val="22"/>
        </w:rPr>
        <w:t xml:space="preserve">• التواصل (Social): تغذيات استماع من LinkedIn وX وFacebook والمنصات المكوّنة</w:t>
      </w:r>
    </w:p>
    <w:p>
      <w:pPr>
        <w:spacing w:after="80"/>
        <w:ind w:left="360"/>
      </w:pPr>
      <w:r>
        <w:rPr>
          <w:sz w:val="22"/>
          <w:szCs w:val="22"/>
        </w:rPr>
        <w:t xml:space="preserve">• البث (Broadcast): مقاطع قنوات أخبار، نصوص برامج حوارية، بيانات وصفية للبرامج</w:t>
      </w:r>
    </w:p>
    <w:p>
      <w:pPr>
        <w:spacing w:after="80"/>
        <w:ind w:left="360"/>
      </w:pPr>
      <w:r>
        <w:rPr>
          <w:sz w:val="22"/>
          <w:szCs w:val="22"/>
        </w:rPr>
        <w:t xml:space="preserve">• فهرس MediaBrain: بحث موحّد عبر الصحافة والتواصل والبث مع تتبع الإصدارات</w:t>
      </w:r>
    </w:p>
    <w:p>
      <w:pPr>
        <w:spacing w:after="80"/>
        <w:ind w:left="360"/>
      </w:pPr>
      <w:r>
        <w:rPr>
          <w:sz w:val="22"/>
          <w:szCs w:val="22"/>
        </w:rPr>
        <w:t xml:space="preserve">• رفوعات خاصة: موجزات عميل، قوائم كلمات، عتبات تنبيه، ملاحظات حملات (نطاق المستأجر)</w:t>
      </w:r>
    </w:p>
    <w:p>
      <w:pPr>
        <w:pStyle w:val="Heading1"/>
        <w:spacing w:after="160" w:before="280"/>
      </w:pPr>
      <w:r>
        <w:rPr>
          <w:b/>
          <w:bCs/>
        </w:rPr>
        <w:t xml:space="preserve">12. رحلات المستخدم (User Journeys)</w:t>
      </w:r>
    </w:p>
    <w:p>
      <w:pPr>
        <w:spacing w:after="80"/>
        <w:ind w:left="360"/>
      </w:pPr>
      <w:r>
        <w:rPr>
          <w:sz w:val="22"/>
          <w:szCs w:val="22"/>
        </w:rPr>
        <w:t xml:space="preserve">• تواصل العميل يطلب نبض قطاع أسبوعي → إجابة موثّقة صحافة/تواصل/بث مع مقارنة اتجاه</w:t>
      </w:r>
    </w:p>
    <w:p>
      <w:pPr>
        <w:spacing w:after="80"/>
        <w:ind w:left="360"/>
      </w:pPr>
      <w:r>
        <w:rPr>
          <w:sz w:val="22"/>
          <w:szCs w:val="22"/>
        </w:rPr>
        <w:t xml:space="preserve">• فريق أزمة يسأل عن ارتفاع مشاعر → تصنيف سرعة + توصية قالب تنبيه ساعي</w:t>
      </w:r>
    </w:p>
    <w:p>
      <w:pPr>
        <w:spacing w:after="80"/>
        <w:ind w:left="360"/>
      </w:pPr>
      <w:r>
        <w:rPr>
          <w:sz w:val="22"/>
          <w:szCs w:val="22"/>
        </w:rPr>
        <w:t xml:space="preserve">• عميل يطلب SOV منافس → جدول مقارنة موزون بالقناة مع استشهادات</w:t>
      </w:r>
    </w:p>
    <w:p>
      <w:pPr>
        <w:spacing w:after="80"/>
        <w:ind w:left="360"/>
      </w:pPr>
      <w:r>
        <w:rPr>
          <w:sz w:val="22"/>
          <w:szCs w:val="22"/>
        </w:rPr>
        <w:t xml:space="preserve">• مكتب إعلام وزاري يطلب إحاطة يومية → حزمة منظمة بأهم القضايا والتوصيات</w:t>
      </w:r>
    </w:p>
    <w:p>
      <w:pPr>
        <w:spacing w:after="80"/>
        <w:ind w:left="360"/>
      </w:pPr>
      <w:r>
        <w:rPr>
          <w:sz w:val="22"/>
          <w:szCs w:val="22"/>
        </w:rPr>
        <w:t xml:space="preserve">• محلل يراجع ملخص برامج → برامج مفهرسة بطوابع زمنية واقتباسات</w:t>
      </w:r>
    </w:p>
    <w:p>
      <w:pPr>
        <w:spacing w:after="80"/>
        <w:ind w:left="360"/>
      </w:pPr>
      <w:r>
        <w:rPr>
          <w:sz w:val="22"/>
          <w:szCs w:val="22"/>
        </w:rPr>
        <w:t xml:space="preserve">• عمليات Brandel تفحص صحة الموصلات → حالة التغذية وتنبيهات الفجوات</w:t>
      </w:r>
    </w:p>
    <w:p>
      <w:pPr>
        <w:spacing w:after="80"/>
        <w:ind w:left="360"/>
      </w:pPr>
      <w:r>
        <w:rPr>
          <w:sz w:val="22"/>
          <w:szCs w:val="22"/>
        </w:rPr>
        <w:t xml:space="preserve">• مسؤول تواصل يطلب بيانًا صحفيًا → Statement Writer يصوغ بيانًا موثّقًا</w:t>
      </w:r>
    </w:p>
    <w:p>
      <w:pPr>
        <w:spacing w:after="80"/>
        <w:ind w:left="360"/>
      </w:pPr>
      <w:r>
        <w:rPr>
          <w:sz w:val="22"/>
          <w:szCs w:val="22"/>
        </w:rPr>
        <w:t xml:space="preserve">• عمليات العميل تفتح تقرير A4 يومي → تقرير قطاع (مثل Petrobel نفط وغاز) بنبض وSOV وتنبيهات وتوصيات</w:t>
      </w:r>
    </w:p>
    <w:p>
      <w:pPr>
        <w:pStyle w:val="Heading1"/>
        <w:spacing w:after="160" w:before="280"/>
      </w:pPr>
      <w:r>
        <w:rPr>
          <w:b/>
          <w:bCs/>
        </w:rPr>
        <w:t xml:space="preserve">13. مقاييس النجاح (Success Metrics)</w:t>
      </w:r>
    </w:p>
    <w:p>
      <w:pPr>
        <w:spacing w:after="80"/>
        <w:ind w:left="360"/>
      </w:pPr>
      <w:r>
        <w:rPr>
          <w:sz w:val="22"/>
          <w:szCs w:val="22"/>
        </w:rPr>
        <w:t xml:space="preserve">• ≥60% تسريع الحل · ≥95% إجابات موثّقة · ≥80% نشاط شهري للدفعة التجريبية · 0 تسرب بين المستأجرين · تقليل قابل للقياس لوقت إعداد المحللين</w:t>
      </w:r>
    </w:p>
    <w:p>
      <w:pPr>
        <w:pStyle w:val="Heading1"/>
        <w:spacing w:after="160" w:before="280"/>
      </w:pPr>
      <w:r>
        <w:rPr>
          <w:b/>
          <w:bCs/>
        </w:rPr>
        <w:t xml:space="preserve">14. المخاطر (Risks)</w:t>
      </w:r>
    </w:p>
    <w:p>
      <w:pPr>
        <w:spacing w:after="80"/>
        <w:ind w:left="360"/>
      </w:pPr>
      <w:r>
        <w:rPr>
          <w:sz w:val="22"/>
          <w:szCs w:val="22"/>
        </w:rPr>
        <w:t xml:space="preserve">• تأخر التغذية · فشل الموصل · هلوسة · أخطاء العزل · تأخر اتفاقيات DPA · توسّع مفرط إلى وحدات المستقبل · حساسية تواصل الأزمات</w:t>
      </w:r>
    </w:p>
    <w:p>
      <w:pPr>
        <w:pStyle w:val="Heading1"/>
        <w:spacing w:after="160" w:before="280"/>
      </w:pPr>
      <w:r>
        <w:rPr>
          <w:b/>
          <w:bCs/>
        </w:rPr>
        <w:t xml:space="preserve">15. الافتراضات (Assumptions)</w:t>
      </w:r>
    </w:p>
    <w:p>
      <w:pPr>
        <w:spacing w:after="80"/>
        <w:ind w:left="360"/>
      </w:pPr>
      <w:r>
        <w:rPr>
          <w:sz w:val="22"/>
          <w:szCs w:val="22"/>
        </w:rPr>
        <w:t xml:space="preserve">• رعاية Brandel · وصول موصلات صحافة/تواصل/بث · اعتماد السحابة المدارة · تحديد رعاة عملاء تجريبيين</w:t>
      </w:r>
    </w:p>
    <w:p>
      <w:pPr>
        <w:pStyle w:val="Heading1"/>
        <w:spacing w:after="160" w:before="280"/>
      </w:pPr>
      <w:r>
        <w:rPr>
          <w:b/>
          <w:bCs/>
        </w:rPr>
        <w:t xml:space="preserve">16. الخطوات التالية (Next Steps)</w:t>
      </w:r>
    </w:p>
    <w:p>
      <w:pPr>
        <w:spacing w:after="80"/>
        <w:ind w:left="360"/>
      </w:pPr>
      <w:r>
        <w:rPr>
          <w:sz w:val="22"/>
          <w:szCs w:val="22"/>
        </w:rPr>
        <w:t xml:space="preserve">• ورشة اكتشاف · تأكيد المجموعات والموصلات · دفعة تجريبية · بيان عمل ملزم</w:t>
      </w:r>
    </w:p>
    <w:p>
      <w:pPr>
        <w:pStyle w:val="Heading1"/>
        <w:spacing w:after="160" w:before="280"/>
      </w:pPr>
      <w:r>
        <w:rPr>
          <w:b/>
          <w:bCs/>
        </w:rPr>
        <w:t xml:space="preserve">17. فهرس وحدات المستقبل (Future Modules Catalog · A1–F1)</w:t>
      </w:r>
    </w:p>
    <w:p>
      <w:pPr>
        <w:pStyle w:val="Heading2"/>
        <w:spacing w:after="160" w:before="280"/>
      </w:pPr>
      <w:r>
        <w:rPr>
          <w:b/>
          <w:bCs/>
        </w:rPr>
        <w:t xml:space="preserve">أ — ذكاء القطاع وحصة الصوت</w:t>
      </w:r>
    </w:p>
    <w:p>
      <w:pPr>
        <w:spacing w:after="80"/>
        <w:ind w:left="360"/>
      </w:pPr>
      <w:r>
        <w:rPr>
          <w:sz w:val="22"/>
          <w:szCs w:val="22"/>
        </w:rPr>
        <w:t xml:space="preserve">• A1 موجزات نبض القطاع الأسبوعية · A2 مقارن حصة الصوت</w:t>
      </w:r>
    </w:p>
    <w:p>
      <w:pPr>
        <w:pStyle w:val="Heading2"/>
        <w:spacing w:after="160" w:before="280"/>
      </w:pPr>
      <w:r>
        <w:rPr>
          <w:b/>
          <w:bCs/>
        </w:rPr>
        <w:t xml:space="preserve">ب — الأزمات وصحة العلامة</w:t>
      </w:r>
    </w:p>
    <w:p>
      <w:pPr>
        <w:spacing w:after="80"/>
        <w:ind w:left="360"/>
      </w:pPr>
      <w:r>
        <w:rPr>
          <w:sz w:val="22"/>
          <w:szCs w:val="22"/>
        </w:rPr>
        <w:t xml:space="preserve">• B1 متتبع سرعة الأزمة · B2 سرديات صحة العلامة</w:t>
      </w:r>
    </w:p>
    <w:p>
      <w:pPr>
        <w:pStyle w:val="Heading2"/>
        <w:spacing w:after="160" w:before="280"/>
      </w:pPr>
      <w:r>
        <w:rPr>
          <w:b/>
          <w:bCs/>
        </w:rPr>
        <w:t xml:space="preserve">ج — إحاطات مؤسسية وبثّية</w:t>
      </w:r>
    </w:p>
    <w:p>
      <w:pPr>
        <w:spacing w:after="80"/>
        <w:ind w:left="360"/>
      </w:pPr>
      <w:r>
        <w:rPr>
          <w:sz w:val="22"/>
          <w:szCs w:val="22"/>
        </w:rPr>
        <w:t xml:space="preserve">• C1 حزم إحاطة مكاتب الإعلام · C2 ملخص البرامج الحوارية</w:t>
      </w:r>
    </w:p>
    <w:p>
      <w:pPr>
        <w:pStyle w:val="Heading2"/>
        <w:spacing w:after="160" w:before="280"/>
      </w:pPr>
      <w:r>
        <w:rPr>
          <w:b/>
          <w:bCs/>
        </w:rPr>
        <w:t xml:space="preserve">د — العمليات والتنبيه</w:t>
      </w:r>
    </w:p>
    <w:p>
      <w:pPr>
        <w:spacing w:after="80"/>
        <w:ind w:left="360"/>
      </w:pPr>
      <w:r>
        <w:rPr>
          <w:sz w:val="22"/>
          <w:szCs w:val="22"/>
        </w:rPr>
        <w:t xml:space="preserve">• D1 قوالب تنبيه A4 مجدولة · D2 مراقب صحة الموصلات</w:t>
      </w:r>
    </w:p>
    <w:p>
      <w:pPr>
        <w:pStyle w:val="Heading2"/>
        <w:spacing w:after="160" w:before="280"/>
      </w:pPr>
      <w:r>
        <w:rPr>
          <w:b/>
          <w:bCs/>
        </w:rPr>
        <w:t xml:space="preserve">هـ — رؤية المحفظة وتحليلات الحملات</w:t>
      </w:r>
    </w:p>
    <w:p>
      <w:pPr>
        <w:spacing w:after="80"/>
        <w:ind w:left="360"/>
      </w:pPr>
      <w:r>
        <w:rPr>
          <w:sz w:val="22"/>
          <w:szCs w:val="22"/>
        </w:rPr>
        <w:t xml:space="preserve">• E1 تحليلات اتجاهات مجهولة · E2 مستشار مؤشرات الحملات</w:t>
      </w:r>
    </w:p>
    <w:p>
      <w:pPr>
        <w:pStyle w:val="Heading2"/>
        <w:spacing w:after="160" w:before="280"/>
      </w:pPr>
      <w:r>
        <w:rPr>
          <w:b/>
          <w:bCs/>
        </w:rPr>
        <w:t xml:space="preserve">و — الربط بالسياسة</w:t>
      </w:r>
    </w:p>
    <w:p>
      <w:pPr>
        <w:spacing w:after="80"/>
        <w:ind w:left="360"/>
      </w:pPr>
      <w:r>
        <w:rPr>
          <w:sz w:val="22"/>
          <w:szCs w:val="22"/>
        </w:rPr>
        <w:t xml:space="preserve">• F1 مستشار ربط الإعلام بالسياسة</w:t>
      </w:r>
    </w:p>
    <w:p>
      <w:pPr>
        <w:spacing w:after="160"/>
      </w:pPr>
      <w:r>
        <w:rPr>
          <w:sz w:val="22"/>
          <w:szCs w:val="22"/>
        </w:rPr>
        <w:t xml:space="preserve">إخلاء مسؤولية: وحدات المستقبل تتطلب مصادر محكومة واتفاقيات DPA مع العملاء وموافقة توجيه Brandel؛ استشارية فقط حيث يوجد خطر قانوني أو سمعة.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2026-08-05T08:05:51.515Z</dcterms:created>
  <dcterms:modified xsi:type="dcterms:W3CDTF">2026-08-05T08:05:51.515Z</dcterms:modified>
</cp:coreProperties>
</file>

<file path=docProps/custom.xml><?xml version="1.0" encoding="utf-8"?>
<Properties xmlns="http://schemas.openxmlformats.org/officeDocument/2006/custom-properties" xmlns:vt="http://schemas.openxmlformats.org/officeDocument/2006/docPropsVTypes"/>
</file>