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80"/>
      </w:pPr>
      <w:r>
        <w:rPr>
          <w:b/>
          <w:bCs/>
        </w:rPr>
        <w:t xml:space="preserve">PRD — MediaBrain Media Intelligence Hub</w:t>
      </w:r>
    </w:p>
    <w:p>
      <w:pPr>
        <w:spacing w:after="160"/>
      </w:pPr>
      <w:r>
        <w:rPr>
          <w:sz w:val="22"/>
          <w:szCs w:val="22"/>
        </w:rPr>
        <w:t xml:space="preserve">Prepared for: Brandel Co. and its client portfolio (enterprise comms, crisis teams, ministry media offices) · Market reference: Egypt Media Monitor traditional monitoring services · Prepared by: Brandel Co. · commercial@brandel.com · Version 1.0 (Draft for Discussion) — August 2026</w:t>
      </w:r>
    </w:p>
    <w:p>
      <w:pPr>
        <w:pStyle w:val="Heading1"/>
        <w:spacing w:after="160" w:before="280"/>
      </w:pPr>
      <w:r>
        <w:rPr>
          <w:b/>
          <w:bCs/>
        </w:rPr>
        <w:t xml:space="preserve">1. Document Control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tcBorders>
              <w:top w:val="single" w:color="CCCCCC" w:sz="4"/>
              <w:left w:val="single" w:color="CCCCCC" w:sz="4"/>
              <w:bottom w:val="single" w:color="CCCCCC" w:sz="4"/>
              <w:right w:val="single" w:color="CCCCCC" w:sz="4"/>
            </w:tcBorders>
          </w:tcPr>
          <w:p>
            <w:r>
              <w:rPr>
                <w:b/>
                <w:bCs/>
                <w:sz w:val="18"/>
                <w:szCs w:val="18"/>
              </w:rPr>
              <w:t xml:space="preserve">Field</w:t>
            </w:r>
          </w:p>
        </w:tc>
        <w:tc>
          <w:tcPr>
            <w:tcW w:type="dxa" w:w="4500"/>
            <w:tcBorders>
              <w:top w:val="single" w:color="CCCCCC" w:sz="4"/>
              <w:left w:val="single" w:color="CCCCCC" w:sz="4"/>
              <w:bottom w:val="single" w:color="CCCCCC" w:sz="4"/>
              <w:right w:val="single" w:color="CCCCCC" w:sz="4"/>
            </w:tcBorders>
          </w:tcPr>
          <w:p>
            <w:r>
              <w:rPr>
                <w:b/>
                <w:bCs/>
                <w:sz w:val="18"/>
                <w:szCs w:val="18"/>
              </w:rPr>
              <w:t xml:space="preserve">Value</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Document Title</w:t>
            </w:r>
          </w:p>
        </w:tc>
        <w:tc>
          <w:tcPr>
            <w:tcW w:type="dxa" w:w="4500"/>
            <w:tcBorders>
              <w:top w:val="single" w:color="CCCCCC" w:sz="4"/>
              <w:left w:val="single" w:color="CCCCCC" w:sz="4"/>
              <w:bottom w:val="single" w:color="CCCCCC" w:sz="4"/>
              <w:right w:val="single" w:color="CCCCCC" w:sz="4"/>
            </w:tcBorders>
          </w:tcPr>
          <w:p>
            <w:r>
              <w:rPr>
                <w:sz w:val="18"/>
                <w:szCs w:val="18"/>
              </w:rPr>
              <w:t xml:space="preserve">PRD — MediaBrain Media Intelligence Hub</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Prepared For</w:t>
            </w:r>
          </w:p>
        </w:tc>
        <w:tc>
          <w:tcPr>
            <w:tcW w:type="dxa" w:w="4500"/>
            <w:tcBorders>
              <w:top w:val="single" w:color="CCCCCC" w:sz="4"/>
              <w:left w:val="single" w:color="CCCCCC" w:sz="4"/>
              <w:bottom w:val="single" w:color="CCCCCC" w:sz="4"/>
              <w:right w:val="single" w:color="CCCCCC" w:sz="4"/>
            </w:tcBorders>
          </w:tcPr>
          <w:p>
            <w:r>
              <w:rPr>
                <w:sz w:val="18"/>
                <w:szCs w:val="18"/>
              </w:rPr>
              <w:t xml:space="preserve">Brandel Co. and its client portfolio</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Prepared By</w:t>
            </w:r>
          </w:p>
        </w:tc>
        <w:tc>
          <w:tcPr>
            <w:tcW w:type="dxa" w:w="4500"/>
            <w:tcBorders>
              <w:top w:val="single" w:color="CCCCCC" w:sz="4"/>
              <w:left w:val="single" w:color="CCCCCC" w:sz="4"/>
              <w:bottom w:val="single" w:color="CCCCCC" w:sz="4"/>
              <w:right w:val="single" w:color="CCCCCC" w:sz="4"/>
            </w:tcBorders>
          </w:tcPr>
          <w:p>
            <w:r>
              <w:rPr>
                <w:sz w:val="18"/>
                <w:szCs w:val="18"/>
              </w:rPr>
              <w:t xml:space="preserve">Brandel Co. · commercial@brandel.com</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Companion</w:t>
            </w:r>
          </w:p>
        </w:tc>
        <w:tc>
          <w:tcPr>
            <w:tcW w:type="dxa" w:w="4500"/>
            <w:tcBorders>
              <w:top w:val="single" w:color="CCCCCC" w:sz="4"/>
              <w:left w:val="single" w:color="CCCCCC" w:sz="4"/>
              <w:bottom w:val="single" w:color="CCCCCC" w:sz="4"/>
              <w:right w:val="single" w:color="CCCCCC" w:sz="4"/>
            </w:tcBorders>
          </w:tcPr>
          <w:p>
            <w:r>
              <w:rPr>
                <w:sz w:val="18"/>
                <w:szCs w:val="18"/>
              </w:rPr>
              <w:t xml:space="preserve">Business Case — MediaBrain (v1.0)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Status</w:t>
            </w:r>
          </w:p>
        </w:tc>
        <w:tc>
          <w:tcPr>
            <w:tcW w:type="dxa" w:w="4500"/>
            <w:tcBorders>
              <w:top w:val="single" w:color="CCCCCC" w:sz="4"/>
              <w:left w:val="single" w:color="CCCCCC" w:sz="4"/>
              <w:bottom w:val="single" w:color="CCCCCC" w:sz="4"/>
              <w:right w:val="single" w:color="CCCCCC" w:sz="4"/>
            </w:tcBorders>
          </w:tcPr>
          <w:p>
            <w:r>
              <w:rPr>
                <w:sz w:val="18"/>
                <w:szCs w:val="18"/>
              </w:rPr>
              <w:t xml:space="preserve">Draft — For Discussion</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Version</w:t>
            </w:r>
          </w:p>
        </w:tc>
        <w:tc>
          <w:tcPr>
            <w:tcW w:type="dxa" w:w="4500"/>
            <w:tcBorders>
              <w:top w:val="single" w:color="CCCCCC" w:sz="4"/>
              <w:left w:val="single" w:color="CCCCCC" w:sz="4"/>
              <w:bottom w:val="single" w:color="CCCCCC" w:sz="4"/>
              <w:right w:val="single" w:color="CCCCCC" w:sz="4"/>
            </w:tcBorders>
          </w:tcPr>
          <w:p>
            <w:r>
              <w:rPr>
                <w:sz w:val="18"/>
                <w:szCs w:val="18"/>
              </w:rPr>
              <w:t xml:space="preserve">1.0</w:t>
            </w:r>
          </w:p>
        </w:tc>
      </w:tr>
      <w:tr>
        <w:tc>
          <w:tcPr>
            <w:tcW w:type="dxa" w:w="4500"/>
            <w:tcBorders>
              <w:top w:val="single" w:color="CCCCCC" w:sz="4"/>
              <w:left w:val="single" w:color="CCCCCC" w:sz="4"/>
              <w:bottom w:val="single" w:color="CCCCCC" w:sz="4"/>
              <w:right w:val="single" w:color="CCCCCC" w:sz="4"/>
            </w:tcBorders>
          </w:tcPr>
          <w:p>
            <w:r>
              <w:rPr>
                <w:sz w:val="18"/>
                <w:szCs w:val="18"/>
              </w:rPr>
              <w:t xml:space="preserve">Date</w:t>
            </w:r>
          </w:p>
        </w:tc>
        <w:tc>
          <w:tcPr>
            <w:tcW w:type="dxa" w:w="4500"/>
            <w:tcBorders>
              <w:top w:val="single" w:color="CCCCCC" w:sz="4"/>
              <w:left w:val="single" w:color="CCCCCC" w:sz="4"/>
              <w:bottom w:val="single" w:color="CCCCCC" w:sz="4"/>
              <w:right w:val="single" w:color="CCCCCC" w:sz="4"/>
            </w:tcBorders>
          </w:tcPr>
          <w:p>
            <w:r>
              <w:rPr>
                <w:sz w:val="18"/>
                <w:szCs w:val="18"/>
              </w:rPr>
              <w:t xml:space="preserve">August 2026</w:t>
            </w:r>
          </w:p>
        </w:tc>
      </w:tr>
    </w:tbl>
    <w:p>
      <w:pPr>
        <w:spacing w:after="160"/>
      </w:pPr>
      <w:r>
        <w:rPr>
          <w:sz w:val="22"/>
          <w:szCs w:val="22"/>
        </w:rPr>
        <w:t xml:space="preserve"/>
      </w:r>
    </w:p>
    <w:p>
      <w:pPr>
        <w:pStyle w:val="Heading1"/>
        <w:spacing w:after="160" w:before="280"/>
      </w:pPr>
      <w:r>
        <w:rPr>
          <w:b/>
          <w:bCs/>
        </w:rPr>
        <w:t xml:space="preserve">2. Executive Summary</w:t>
      </w:r>
    </w:p>
    <w:p>
      <w:pPr>
        <w:spacing w:after="160"/>
      </w:pPr>
      <w:r>
        <w:rPr>
          <w:sz w:val="22"/>
          <w:szCs w:val="22"/>
        </w:rPr>
        <w:t xml:space="preserve">MediaBrain is a bilingual (AR/EN) AI media advisor and role-based hub that turns Brandel’s press monitoring, social listening, broadcast clipping and talk-show indexing into cited answers and drafted statements for corporate clients, enterprise crisis teams and ministry media offices — hosted on a managed cloud platform with connector layer, unified media index and audit logging. The hub comprises two assistants: a Media Advisor for analytics and cited Q&amp;A, and a Statement Writer for press statements, media responses and internal communications grounded in the same governed sources.</w:t>
      </w:r>
    </w:p>
    <w:p>
      <w:pPr>
        <w:pStyle w:val="Heading1"/>
        <w:spacing w:after="160" w:before="280"/>
      </w:pPr>
      <w:r>
        <w:rPr>
          <w:b/>
          <w:bCs/>
        </w:rPr>
        <w:t xml:space="preserve">3. Background</w:t>
      </w:r>
    </w:p>
    <w:p>
      <w:pPr>
        <w:spacing w:after="160"/>
      </w:pPr>
      <w:r>
        <w:rPr>
          <w:sz w:val="22"/>
          <w:szCs w:val="22"/>
        </w:rPr>
        <w:t xml:space="preserve">Brandel Co. media-intelligence services sit in the traditional monitoring category exemplified publicly by players such as Egypt Media Monitor (egyptmediamonitor.com): daily national and sector press monitoring; social listening across LinkedIn, X, Facebook and other major platforms; broadcast clipping from news channels and talk-show programmes; analyst-prepared briefs for corporate comms, crisis response and institutional media offices.</w:t>
      </w:r>
    </w:p>
    <w:p>
      <w:pPr>
        <w:spacing w:after="160"/>
      </w:pPr>
      <w:r>
        <w:rPr>
          <w:sz w:val="22"/>
          <w:szCs w:val="22"/>
        </w:rPr>
        <w:t xml:space="preserve">Clients expect sector weekly pulses, crisis sentiment assessments, competitor share-of-voice comparisons, ministry briefing packs, talk-show digests and threshold-triggered hourly alerts — all grounded in monitored sources, not open-web speculation.</w:t>
      </w:r>
    </w:p>
    <w:p>
      <w:pPr>
        <w:pStyle w:val="Heading1"/>
        <w:spacing w:after="160" w:before="280"/>
      </w:pPr>
      <w:r>
        <w:rPr>
          <w:b/>
          <w:bCs/>
        </w:rPr>
        <w:t xml:space="preserve">3b. Market example — modest services (Egypt Media Monitor)</w:t>
      </w:r>
    </w:p>
    <w:p>
      <w:pPr>
        <w:spacing w:after="160"/>
      </w:pPr>
      <w:r>
        <w:rPr>
          <w:sz w:val="22"/>
          <w:szCs w:val="22"/>
        </w:rPr>
        <w:t xml:space="preserve">Per its public offering at https://egyptmediamonitor.com/, Egypt Media Monitor provides Media Monitoring, Social Listening, Press Clipping, Editorial Opinions and Analysis, TV Talk Show Summaries and Media Summaries. This is a traditional, relatively modest service tier compared with a unified intelligence hub. MediaBrain does not replace the value of monitoring and clipping; it adds a decision layer: cited Q&amp;A, statement drafting, scheduled A4 packs, tenant isolation and audit.</w:t>
      </w:r>
    </w:p>
    <w:p>
      <w:pPr>
        <w:pStyle w:val="Heading1"/>
        <w:spacing w:after="160" w:before="280"/>
      </w:pPr>
      <w:r>
        <w:rPr>
          <w:b/>
          <w:bCs/>
        </w:rPr>
        <w:t xml:space="preserve">4. Problem</w:t>
      </w:r>
    </w:p>
    <w:p>
      <w:pPr>
        <w:spacing w:after="160"/>
      </w:pPr>
      <w:r>
        <w:rPr>
          <w:sz w:val="22"/>
          <w:szCs w:val="22"/>
        </w:rPr>
        <w:t xml:space="preserve">Fragmented interpretation of press, social and broadcast signals slows client comms teams and overloads Brandel analyst desks. Dashboards and email digests alone do not deliver cited, personalized intelligence at the speed incidents and media cycles demand.</w:t>
      </w:r>
    </w:p>
    <w:p>
      <w:pPr>
        <w:pStyle w:val="Heading1"/>
        <w:spacing w:after="160" w:before="280"/>
      </w:pPr>
      <w:r>
        <w:rPr>
          <w:b/>
          <w:bCs/>
        </w:rPr>
        <w:t xml:space="preserve">5. Vision / Objectives</w:t>
      </w:r>
    </w:p>
    <w:p>
      <w:pPr>
        <w:spacing w:after="80"/>
        <w:ind w:left="360"/>
      </w:pPr>
      <w:r>
        <w:rPr>
          <w:sz w:val="22"/>
          <w:szCs w:val="22"/>
        </w:rPr>
        <w:t xml:space="preserve">• One governed AI hub for media intelligence under Brandel Co.</w:t>
      </w:r>
    </w:p>
    <w:p>
      <w:pPr>
        <w:spacing w:after="80"/>
        <w:ind w:left="360"/>
      </w:pPr>
      <w:r>
        <w:rPr>
          <w:sz w:val="22"/>
          <w:szCs w:val="22"/>
        </w:rPr>
        <w:t xml:space="preserve">• Cited answers only — decline when sources are insufficient.</w:t>
      </w:r>
    </w:p>
    <w:p>
      <w:pPr>
        <w:spacing w:after="80"/>
        <w:ind w:left="360"/>
      </w:pPr>
      <w:r>
        <w:rPr>
          <w:sz w:val="22"/>
          <w:szCs w:val="22"/>
        </w:rPr>
        <w:t xml:space="preserve">• Three audience layers with strict tenancy (corporate client / crisis team / ministry media office).</w:t>
      </w:r>
    </w:p>
    <w:p>
      <w:pPr>
        <w:spacing w:after="80"/>
        <w:ind w:left="360"/>
      </w:pPr>
      <w:r>
        <w:rPr>
          <w:sz w:val="22"/>
          <w:szCs w:val="22"/>
        </w:rPr>
        <w:t xml:space="preserve">• Managed cloud hosting, connector governance and auditable knowledge operations.</w:t>
      </w:r>
    </w:p>
    <w:p>
      <w:pPr>
        <w:spacing w:after="80"/>
        <w:ind w:left="360"/>
      </w:pPr>
      <w:r>
        <w:rPr>
          <w:sz w:val="22"/>
          <w:szCs w:val="22"/>
        </w:rPr>
        <w:t xml:space="preserve">• Clear path from pilot to Future Modules without over-claiming v1 scope.</w:t>
      </w:r>
    </w:p>
    <w:p>
      <w:pPr>
        <w:pStyle w:val="Heading1"/>
        <w:spacing w:after="160" w:before="280"/>
      </w:pPr>
      <w:r>
        <w:rPr>
          <w:b/>
          <w:bCs/>
        </w:rPr>
        <w:t xml:space="preserve">6. Target Users</w:t>
      </w:r>
    </w:p>
    <w:p>
      <w:pPr>
        <w:spacing w:after="80"/>
        <w:ind w:left="360"/>
      </w:pPr>
      <w:r>
        <w:rPr>
          <w:sz w:val="22"/>
          <w:szCs w:val="22"/>
        </w:rPr>
        <w:t xml:space="preserve">• Brandel corporate client comms teams — sector pulses, SOV and campaign Q&amp;A with private workspace.</w:t>
      </w:r>
    </w:p>
    <w:p>
      <w:pPr>
        <w:spacing w:after="80"/>
        <w:ind w:left="360"/>
      </w:pPr>
      <w:r>
        <w:rPr>
          <w:sz w:val="22"/>
          <w:szCs w:val="22"/>
        </w:rPr>
        <w:t xml:space="preserve">• Enterprise crisis and reputation teams — sentiment spikes, velocity tracking and alert templates.</w:t>
      </w:r>
    </w:p>
    <w:p>
      <w:pPr>
        <w:spacing w:after="80"/>
        <w:ind w:left="360"/>
      </w:pPr>
      <w:r>
        <w:rPr>
          <w:sz w:val="22"/>
          <w:szCs w:val="22"/>
        </w:rPr>
        <w:t xml:space="preserve">• Ministry and institutional media offices — daily/weekly briefing packs and talk-show digests.</w:t>
      </w:r>
    </w:p>
    <w:p>
      <w:pPr>
        <w:spacing w:after="80"/>
        <w:ind w:left="360"/>
      </w:pPr>
      <w:r>
        <w:rPr>
          <w:sz w:val="22"/>
          <w:szCs w:val="22"/>
        </w:rPr>
        <w:t xml:space="preserve">• Brandel analysts and operations — connector health, KB curation and anonymized portfolio insight.</w:t>
      </w:r>
    </w:p>
    <w:p>
      <w:pPr>
        <w:pStyle w:val="Heading1"/>
        <w:spacing w:after="160" w:before="280"/>
      </w:pPr>
      <w:r>
        <w:rPr>
          <w:b/>
          <w:bCs/>
        </w:rPr>
        <w:t xml:space="preserve">7. Scope</w:t>
      </w:r>
    </w:p>
    <w:p>
      <w:pPr>
        <w:pStyle w:val="Heading2"/>
        <w:spacing w:after="160" w:before="280"/>
      </w:pPr>
      <w:r>
        <w:rPr>
          <w:b/>
          <w:bCs/>
        </w:rPr>
        <w:t xml:space="preserve">In scope (v1)</w:t>
      </w:r>
    </w:p>
    <w:p>
      <w:pPr>
        <w:spacing w:after="80"/>
        <w:ind w:left="360"/>
      </w:pPr>
      <w:r>
        <w:rPr>
          <w:sz w:val="22"/>
          <w:szCs w:val="22"/>
        </w:rPr>
        <w:t xml:space="preserve">• Central hub, unified media index, private workspaces, RBAC, audit, admin curation, anonymized analytics seed, bilingual UI, press/social/broadcast connectors.</w:t>
      </w:r>
    </w:p>
    <w:p>
      <w:pPr>
        <w:pStyle w:val="Heading2"/>
        <w:spacing w:after="160" w:before="280"/>
      </w:pPr>
      <w:r>
        <w:rPr>
          <w:b/>
          <w:bCs/>
        </w:rPr>
        <w:t xml:space="preserve">Out of scope (v1)</w:t>
      </w:r>
    </w:p>
    <w:p>
      <w:pPr>
        <w:spacing w:after="80"/>
        <w:ind w:left="360"/>
      </w:pPr>
      <w:r>
        <w:rPr>
          <w:sz w:val="22"/>
          <w:szCs w:val="22"/>
        </w:rPr>
        <w:t xml:space="preserve">• Live press-release publishing, payments, replacing Brandel monitoring dashboards, open-web grounding, autonomous external statements, Future Modules as live product.</w:t>
      </w:r>
    </w:p>
    <w:p>
      <w:pPr>
        <w:pStyle w:val="Heading2"/>
        <w:spacing w:after="160" w:before="280"/>
      </w:pPr>
      <w:r>
        <w:rPr>
          <w:b/>
          <w:bCs/>
        </w:rPr>
        <w:t xml:space="preserve">Subscription tiers (indicative — final pricing in technical and financial proposal)</w:t>
      </w:r>
    </w:p>
    <w:p>
      <w:pPr>
        <w:spacing w:after="80"/>
        <w:ind w:left="360"/>
      </w:pPr>
      <w:r>
        <w:rPr>
          <w:sz w:val="22"/>
          <w:szCs w:val="22"/>
        </w:rPr>
        <w:t xml:space="preserve">• Pilot: USD 800 / ≈ EGP 38,400 per month — 2–3 client workspaces, core connectors, weekly pulses.</w:t>
      </w:r>
    </w:p>
    <w:p>
      <w:pPr>
        <w:spacing w:after="80"/>
        <w:ind w:left="360"/>
      </w:pPr>
      <w:r>
        <w:rPr>
          <w:sz w:val="22"/>
          <w:szCs w:val="22"/>
        </w:rPr>
        <w:t xml:space="preserve">• Standard: USD 1,500 / ≈ EGP 72,000 per month — up to 10 workspaces, sector dashboards, SOV, talk-show digest, hourly alerts.</w:t>
      </w:r>
    </w:p>
    <w:p>
      <w:pPr>
        <w:spacing w:after="80"/>
        <w:ind w:left="360"/>
      </w:pPr>
      <w:r>
        <w:rPr>
          <w:sz w:val="22"/>
          <w:szCs w:val="22"/>
        </w:rPr>
        <w:t xml:space="preserve">• Portfolio: USD 2,500+ / ≈ EGP 120,000+ per month — unlimited accounts, anonymized analytics, connector health, priority support.</w:t>
      </w:r>
    </w:p>
    <w:p>
      <w:pPr>
        <w:spacing w:after="160"/>
      </w:pPr>
      <w:r>
        <w:rPr>
          <w:sz w:val="22"/>
          <w:szCs w:val="22"/>
        </w:rPr>
        <w:t xml:space="preserve">Note: EGP equivalents use ~48 EGP per 1 USD for planning. A detailed technical and financial proposal can be discussed later during discovery.</w:t>
      </w:r>
    </w:p>
    <w:p>
      <w:pPr>
        <w:pStyle w:val="Heading1"/>
        <w:spacing w:after="160" w:before="280"/>
      </w:pPr>
      <w:r>
        <w:rPr>
          <w:b/>
          <w:bCs/>
        </w:rPr>
        <w:t xml:space="preserve">8. Solution Overview</w:t>
      </w:r>
    </w:p>
    <w:p>
      <w:pPr>
        <w:spacing w:after="160"/>
      </w:pPr>
      <w:r>
        <w:rPr>
          <w:sz w:val="22"/>
          <w:szCs w:val="22"/>
        </w:rPr>
        <w:t xml:space="preserve">Centralized hub (Option A): shared curated media index from press feeds, social listening corpora, broadcast transcripts and client briefs; per-tenant private keywords and thresholds; cited answers with mandatory citations; managed cloud platform with connector layer and audit logging; Brandel anonymized portfolio analytics.</w:t>
      </w:r>
    </w:p>
    <w:p>
      <w:pPr>
        <w:pStyle w:val="Heading2"/>
        <w:spacing w:after="160" w:before="280"/>
      </w:pPr>
      <w:r>
        <w:rPr>
          <w:b/>
          <w:bCs/>
        </w:rPr>
        <w:t xml:space="preserve">8.1 Operational workflow</w:t>
      </w:r>
    </w:p>
    <w:p>
      <w:pPr>
        <w:spacing w:after="160"/>
      </w:pPr>
      <w:r>
        <w:rPr>
          <w:sz w:val="22"/>
          <w:szCs w:val="22"/>
        </w:rPr>
        <w:t xml:space="preserve">The hub operates as a five-stage pipeline, mirroring the architecture recommendation in the Business Case:</w:t>
      </w:r>
    </w:p>
    <w:p>
      <w:pPr>
        <w:spacing w:after="80"/>
        <w:ind w:left="360"/>
      </w:pPr>
      <w:r>
        <w:rPr>
          <w:sz w:val="22"/>
          <w:szCs w:val="22"/>
        </w:rPr>
        <w:t xml:space="preserve">• Audiences — Brandel clients, enterprise comms/crisis teams and ministry media offices sign in through role-based access.</w:t>
      </w:r>
    </w:p>
    <w:p>
      <w:pPr>
        <w:spacing w:after="80"/>
        <w:ind w:left="360"/>
      </w:pPr>
      <w:r>
        <w:rPr>
          <w:sz w:val="22"/>
          <w:szCs w:val="22"/>
        </w:rPr>
        <w:t xml:space="preserve">• Central hub — RBAC &amp; tenancy isolate each account; the Media Advisor answers analytics questions while the Statement Writer drafts cited statements; the Shared Signal Index unifies press/social/broadcast records; Private Workspaces hold client briefs and thresholds; Anonymized Analytics aggregate for Brandel leadership.</w:t>
      </w:r>
    </w:p>
    <w:p>
      <w:pPr>
        <w:spacing w:after="80"/>
        <w:ind w:left="360"/>
      </w:pPr>
      <w:r>
        <w:rPr>
          <w:sz w:val="22"/>
          <w:szCs w:val="22"/>
        </w:rPr>
        <w:t xml:space="preserve">• Governed sources — press, social, broadcast, official sites and international databases ingest only via the connector layer.</w:t>
      </w:r>
    </w:p>
    <w:p>
      <w:pPr>
        <w:spacing w:after="80"/>
        <w:ind w:left="360"/>
      </w:pPr>
      <w:r>
        <w:rPr>
          <w:sz w:val="22"/>
          <w:szCs w:val="22"/>
        </w:rPr>
        <w:t xml:space="preserve">• Platform operations — source connectors normalize feeds; the report scheduler produces hourly/daily/weekly A4 templates; audit logging tracks every query and source match.</w:t>
      </w:r>
    </w:p>
    <w:p>
      <w:pPr>
        <w:spacing w:after="80"/>
        <w:ind w:left="360"/>
      </w:pPr>
      <w:r>
        <w:rPr>
          <w:sz w:val="22"/>
          <w:szCs w:val="22"/>
        </w:rPr>
        <w:t xml:space="preserve">• Cited output — answers, briefing packs and alerts return to audiences with mandatory citations; the system declines when governed sources are insufficient.</w:t>
      </w:r>
    </w:p>
    <w:p>
      <w:pPr>
        <w:pStyle w:val="Heading1"/>
        <w:spacing w:after="160" w:before="280"/>
      </w:pPr>
      <w:r>
        <w:rPr>
          <w:b/>
          <w:bCs/>
        </w:rPr>
        <w:t xml:space="preserve">9. Functional Requirements</w:t>
      </w:r>
    </w:p>
    <w:p>
      <w:pPr>
        <w:spacing w:after="80"/>
        <w:ind w:left="360"/>
      </w:pPr>
      <w:r>
        <w:rPr>
          <w:sz w:val="22"/>
          <w:szCs w:val="22"/>
        </w:rPr>
        <w:t xml:space="preserve">• FR-1 Multilingual cited Q&amp;A with mandatory citations</w:t>
      </w:r>
    </w:p>
    <w:p>
      <w:pPr>
        <w:spacing w:after="80"/>
        <w:ind w:left="360"/>
      </w:pPr>
      <w:r>
        <w:rPr>
          <w:sz w:val="22"/>
          <w:szCs w:val="22"/>
        </w:rPr>
        <w:t xml:space="preserve">• FR-2 Sector weekly pulse briefs from press, social and broadcast time series (seed of A1)</w:t>
      </w:r>
    </w:p>
    <w:p>
      <w:pPr>
        <w:spacing w:after="80"/>
        <w:ind w:left="360"/>
      </w:pPr>
      <w:r>
        <w:rPr>
          <w:sz w:val="22"/>
          <w:szCs w:val="22"/>
        </w:rPr>
        <w:t xml:space="preserve">• FR-3 Crisis sentiment and velocity guidance from monitored feeds (seed of B1)</w:t>
      </w:r>
    </w:p>
    <w:p>
      <w:pPr>
        <w:spacing w:after="80"/>
        <w:ind w:left="360"/>
      </w:pPr>
      <w:r>
        <w:rPr>
          <w:sz w:val="22"/>
          <w:szCs w:val="22"/>
        </w:rPr>
        <w:t xml:space="preserve">• FR-4 Share-of-voice summaries and competitor comparison (seed of A2)</w:t>
      </w:r>
    </w:p>
    <w:p>
      <w:pPr>
        <w:spacing w:after="80"/>
        <w:ind w:left="360"/>
      </w:pPr>
      <w:r>
        <w:rPr>
          <w:sz w:val="22"/>
          <w:szCs w:val="22"/>
        </w:rPr>
        <w:t xml:space="preserve">• FR-5 Private workspace upload (client briefs, keywords, alert thresholds)</w:t>
      </w:r>
    </w:p>
    <w:p>
      <w:pPr>
        <w:spacing w:after="80"/>
        <w:ind w:left="360"/>
      </w:pPr>
      <w:r>
        <w:rPr>
          <w:sz w:val="22"/>
          <w:szCs w:val="22"/>
        </w:rPr>
        <w:t xml:space="preserve">• FR-6 Role-based tenancy (Brandel ops / Client / Ministry team)</w:t>
      </w:r>
    </w:p>
    <w:p>
      <w:pPr>
        <w:spacing w:after="80"/>
        <w:ind w:left="360"/>
      </w:pPr>
      <w:r>
        <w:rPr>
          <w:sz w:val="22"/>
          <w:szCs w:val="22"/>
        </w:rPr>
        <w:t xml:space="preserve">• FR-7 Anonymized sponsor analytics for Brandel leadership (seed of E1)</w:t>
      </w:r>
    </w:p>
    <w:p>
      <w:pPr>
        <w:spacing w:after="80"/>
        <w:ind w:left="360"/>
      </w:pPr>
      <w:r>
        <w:rPr>
          <w:sz w:val="22"/>
          <w:szCs w:val="22"/>
        </w:rPr>
        <w:t xml:space="preserve">• FR-8 Knowledge versioning &amp; feed refresh</w:t>
      </w:r>
    </w:p>
    <w:p>
      <w:pPr>
        <w:spacing w:after="80"/>
        <w:ind w:left="360"/>
      </w:pPr>
      <w:r>
        <w:rPr>
          <w:sz w:val="22"/>
          <w:szCs w:val="22"/>
        </w:rPr>
        <w:t xml:space="preserve">• FR-9 Decline/escalate when no reliable source</w:t>
      </w:r>
    </w:p>
    <w:p>
      <w:pPr>
        <w:spacing w:after="80"/>
        <w:ind w:left="360"/>
      </w:pPr>
      <w:r>
        <w:rPr>
          <w:sz w:val="22"/>
          <w:szCs w:val="22"/>
        </w:rPr>
        <w:t xml:space="preserve">• FR-10 Audit log of queries and source matches</w:t>
      </w:r>
    </w:p>
    <w:p>
      <w:pPr>
        <w:spacing w:after="80"/>
        <w:ind w:left="360"/>
      </w:pPr>
      <w:r>
        <w:rPr>
          <w:sz w:val="22"/>
          <w:szCs w:val="22"/>
        </w:rPr>
        <w:t xml:space="preserve">• FR-11 Admin console for media index and connector curation</w:t>
      </w:r>
    </w:p>
    <w:p>
      <w:pPr>
        <w:spacing w:after="80"/>
        <w:ind w:left="360"/>
      </w:pPr>
      <w:r>
        <w:rPr>
          <w:sz w:val="22"/>
          <w:szCs w:val="22"/>
        </w:rPr>
        <w:t xml:space="preserve">• FR-12 Export brief / PDF one-pager from a grounded answer (seed of C1/D1)</w:t>
      </w:r>
    </w:p>
    <w:p>
      <w:pPr>
        <w:spacing w:after="80"/>
        <w:ind w:left="360"/>
      </w:pPr>
      <w:r>
        <w:rPr>
          <w:sz w:val="22"/>
          <w:szCs w:val="22"/>
        </w:rPr>
        <w:t xml:space="preserve">• FR-13 Statement Writer — draft press statements, media responses and internal comms grounded in governed sources with citations</w:t>
      </w:r>
    </w:p>
    <w:p>
      <w:pPr>
        <w:spacing w:after="80"/>
        <w:ind w:left="360"/>
      </w:pPr>
      <w:r>
        <w:rPr>
          <w:sz w:val="22"/>
          <w:szCs w:val="22"/>
        </w:rPr>
        <w:t xml:space="preserve">• FR-14 Scheduled A4 client briefings — daily/weekly print-ready reports per sector (e.g. oil &amp; gas for Petrobel Co.) generated from the governed signal index</w:t>
      </w:r>
    </w:p>
    <w:p>
      <w:pPr>
        <w:pStyle w:val="Heading1"/>
        <w:spacing w:after="160" w:before="280"/>
      </w:pPr>
      <w:r>
        <w:rPr>
          <w:b/>
          <w:bCs/>
        </w:rPr>
        <w:t xml:space="preserve">10. Non-functional</w:t>
      </w:r>
    </w:p>
    <w:p>
      <w:pPr>
        <w:spacing w:after="80"/>
        <w:ind w:left="360"/>
      </w:pPr>
      <w:r>
        <w:rPr>
          <w:sz w:val="22"/>
          <w:szCs w:val="22"/>
        </w:rPr>
        <w:t xml:space="preserve">• Managed cloud platform with enterprise encryption and regional hosting options</w:t>
      </w:r>
    </w:p>
    <w:p>
      <w:pPr>
        <w:spacing w:after="80"/>
        <w:ind w:left="360"/>
      </w:pPr>
      <w:r>
        <w:rPr>
          <w:sz w:val="22"/>
          <w:szCs w:val="22"/>
        </w:rPr>
        <w:t xml:space="preserve">• Arabic and English UX (RTL/LTR)</w:t>
      </w:r>
    </w:p>
    <w:p>
      <w:pPr>
        <w:spacing w:after="80"/>
        <w:ind w:left="360"/>
      </w:pPr>
      <w:r>
        <w:rPr>
          <w:sz w:val="22"/>
          <w:szCs w:val="22"/>
        </w:rPr>
        <w:t xml:space="preserve">• Interactive latency targets agreed in discovery</w:t>
      </w:r>
    </w:p>
    <w:p>
      <w:pPr>
        <w:spacing w:after="80"/>
        <w:ind w:left="360"/>
      </w:pPr>
      <w:r>
        <w:rPr>
          <w:sz w:val="22"/>
          <w:szCs w:val="22"/>
        </w:rPr>
        <w:t xml:space="preserve">• Full audit trail; no cross-tenant source matching</w:t>
      </w:r>
    </w:p>
    <w:p>
      <w:pPr>
        <w:spacing w:after="80"/>
        <w:ind w:left="360"/>
      </w:pPr>
      <w:r>
        <w:rPr>
          <w:sz w:val="22"/>
          <w:szCs w:val="22"/>
        </w:rPr>
        <w:t xml:space="preserve">• Connector health monitoring baseline (seed of D2)</w:t>
      </w:r>
    </w:p>
    <w:p>
      <w:pPr>
        <w:spacing w:after="80"/>
        <w:ind w:left="360"/>
      </w:pPr>
      <w:r>
        <w:rPr>
          <w:sz w:val="22"/>
          <w:szCs w:val="22"/>
        </w:rPr>
        <w:t xml:space="preserve">• Accessibility baseline for institutional use</w:t>
      </w:r>
    </w:p>
    <w:p>
      <w:pPr>
        <w:pStyle w:val="Heading1"/>
        <w:spacing w:after="160" w:before="280"/>
      </w:pPr>
      <w:r>
        <w:rPr>
          <w:b/>
          <w:bCs/>
        </w:rPr>
        <w:t xml:space="preserve">11. Knowledge Base</w:t>
      </w:r>
    </w:p>
    <w:p>
      <w:pPr>
        <w:spacing w:after="80"/>
        <w:ind w:left="360"/>
      </w:pPr>
      <w:r>
        <w:rPr>
          <w:sz w:val="22"/>
          <w:szCs w:val="22"/>
        </w:rPr>
        <w:t xml:space="preserve">• Press: national and sector outlet clippings, headline indexes, monitoring-class press corpora (market reference: Egypt Media Monitor–style coverage)</w:t>
      </w:r>
    </w:p>
    <w:p>
      <w:pPr>
        <w:spacing w:after="80"/>
        <w:ind w:left="360"/>
      </w:pPr>
      <w:r>
        <w:rPr>
          <w:sz w:val="22"/>
          <w:szCs w:val="22"/>
        </w:rPr>
        <w:t xml:space="preserve">• Social: listening feeds from LinkedIn, X, Facebook and configured platforms</w:t>
      </w:r>
    </w:p>
    <w:p>
      <w:pPr>
        <w:spacing w:after="80"/>
        <w:ind w:left="360"/>
      </w:pPr>
      <w:r>
        <w:rPr>
          <w:sz w:val="22"/>
          <w:szCs w:val="22"/>
        </w:rPr>
        <w:t xml:space="preserve">• Broadcast: news-channel clips, talk-show transcripts and programme metadata</w:t>
      </w:r>
    </w:p>
    <w:p>
      <w:pPr>
        <w:spacing w:after="80"/>
        <w:ind w:left="360"/>
      </w:pPr>
      <w:r>
        <w:rPr>
          <w:sz w:val="22"/>
          <w:szCs w:val="22"/>
        </w:rPr>
        <w:t xml:space="preserve">• MediaBrain index: unified search across press, social and broadcast with version tracking</w:t>
      </w:r>
    </w:p>
    <w:p>
      <w:pPr>
        <w:spacing w:after="80"/>
        <w:ind w:left="360"/>
      </w:pPr>
      <w:r>
        <w:rPr>
          <w:sz w:val="22"/>
          <w:szCs w:val="22"/>
        </w:rPr>
        <w:t xml:space="preserve">• Private uploads: client briefs, keyword lists, alert thresholds, campaign notes (tenant-scoped)</w:t>
      </w:r>
    </w:p>
    <w:p>
      <w:pPr>
        <w:pStyle w:val="Heading1"/>
        <w:spacing w:after="160" w:before="280"/>
      </w:pPr>
      <w:r>
        <w:rPr>
          <w:b/>
          <w:bCs/>
        </w:rPr>
        <w:t xml:space="preserve">12. User Journeys</w:t>
      </w:r>
    </w:p>
    <w:p>
      <w:pPr>
        <w:spacing w:after="80"/>
        <w:ind w:left="360"/>
      </w:pPr>
      <w:r>
        <w:rPr>
          <w:sz w:val="22"/>
          <w:szCs w:val="22"/>
        </w:rPr>
        <w:t xml:space="preserve">• Client comms asks sector weekly pulse → cited press/social/broadcast answer with trend comparison</w:t>
      </w:r>
    </w:p>
    <w:p>
      <w:pPr>
        <w:spacing w:after="80"/>
        <w:ind w:left="360"/>
      </w:pPr>
      <w:r>
        <w:rPr>
          <w:sz w:val="22"/>
          <w:szCs w:val="22"/>
        </w:rPr>
        <w:t xml:space="preserve">• Crisis team asks sentiment spike → velocity classification + hourly alert template recommendation</w:t>
      </w:r>
    </w:p>
    <w:p>
      <w:pPr>
        <w:spacing w:after="80"/>
        <w:ind w:left="360"/>
      </w:pPr>
      <w:r>
        <w:rPr>
          <w:sz w:val="22"/>
          <w:szCs w:val="22"/>
        </w:rPr>
        <w:t xml:space="preserve">• Client asks competitor SOV → cited channel-weighted comparison table</w:t>
      </w:r>
    </w:p>
    <w:p>
      <w:pPr>
        <w:spacing w:after="80"/>
        <w:ind w:left="360"/>
      </w:pPr>
      <w:r>
        <w:rPr>
          <w:sz w:val="22"/>
          <w:szCs w:val="22"/>
        </w:rPr>
        <w:t xml:space="preserve">• Ministry media office requests daily briefing → structured pack with top issues and recommendations</w:t>
      </w:r>
    </w:p>
    <w:p>
      <w:pPr>
        <w:spacing w:after="80"/>
        <w:ind w:left="360"/>
      </w:pPr>
      <w:r>
        <w:rPr>
          <w:sz w:val="22"/>
          <w:szCs w:val="22"/>
        </w:rPr>
        <w:t xml:space="preserve">• Analyst reviews talk-show digest → indexed programmes with timestamps and quotes</w:t>
      </w:r>
    </w:p>
    <w:p>
      <w:pPr>
        <w:spacing w:after="80"/>
        <w:ind w:left="360"/>
      </w:pPr>
      <w:r>
        <w:rPr>
          <w:sz w:val="22"/>
          <w:szCs w:val="22"/>
        </w:rPr>
        <w:t xml:space="preserve">• Brandel ops checks connector health → feed status and gap alerts</w:t>
      </w:r>
    </w:p>
    <w:p>
      <w:pPr>
        <w:spacing w:after="80"/>
        <w:ind w:left="360"/>
      </w:pPr>
      <w:r>
        <w:rPr>
          <w:sz w:val="22"/>
          <w:szCs w:val="22"/>
        </w:rPr>
        <w:t xml:space="preserve">• Comms lead requests press statement → Statement Writer drafts cited statement from governed sources</w:t>
      </w:r>
    </w:p>
    <w:p>
      <w:pPr>
        <w:spacing w:after="80"/>
        <w:ind w:left="360"/>
      </w:pPr>
      <w:r>
        <w:rPr>
          <w:sz w:val="22"/>
          <w:szCs w:val="22"/>
        </w:rPr>
        <w:t xml:space="preserve">• Client ops opens daily A4 briefing → sector report (e.g. Petrobel oil &amp; gas) with pulse, SOV, alerts and recommendations</w:t>
      </w:r>
    </w:p>
    <w:p>
      <w:pPr>
        <w:pStyle w:val="Heading1"/>
        <w:spacing w:after="160" w:before="280"/>
      </w:pPr>
      <w:r>
        <w:rPr>
          <w:b/>
          <w:bCs/>
        </w:rPr>
        <w:t xml:space="preserve">13. Success Metrics</w:t>
      </w:r>
    </w:p>
    <w:p>
      <w:pPr>
        <w:spacing w:after="80"/>
        <w:ind w:left="360"/>
      </w:pPr>
      <w:r>
        <w:rPr>
          <w:sz w:val="22"/>
          <w:szCs w:val="22"/>
        </w:rPr>
        <w:t xml:space="preserve">• ≥60% faster resolution · ≥95% cited answers · ≥80% pilot MAU · 0 cross-tenant leaks · measurable analyst prep-time reduction</w:t>
      </w:r>
    </w:p>
    <w:p>
      <w:pPr>
        <w:pStyle w:val="Heading1"/>
        <w:spacing w:after="160" w:before="280"/>
      </w:pPr>
      <w:r>
        <w:rPr>
          <w:b/>
          <w:bCs/>
        </w:rPr>
        <w:t xml:space="preserve">14. Risks</w:t>
      </w:r>
    </w:p>
    <w:p>
      <w:pPr>
        <w:spacing w:after="80"/>
        <w:ind w:left="360"/>
      </w:pPr>
      <w:r>
        <w:rPr>
          <w:sz w:val="22"/>
          <w:szCs w:val="22"/>
        </w:rPr>
        <w:t xml:space="preserve">• Feed lag · connector failure · hallucination · tenancy bugs · delayed DPAs · over-scope into Future Modules · crisis comms sensitivity</w:t>
      </w:r>
    </w:p>
    <w:p>
      <w:pPr>
        <w:pStyle w:val="Heading1"/>
        <w:spacing w:after="160" w:before="280"/>
      </w:pPr>
      <w:r>
        <w:rPr>
          <w:b/>
          <w:bCs/>
        </w:rPr>
        <w:t xml:space="preserve">15. Assumptions</w:t>
      </w:r>
    </w:p>
    <w:p>
      <w:pPr>
        <w:spacing w:after="80"/>
        <w:ind w:left="360"/>
      </w:pPr>
      <w:r>
        <w:rPr>
          <w:sz w:val="22"/>
          <w:szCs w:val="22"/>
        </w:rPr>
        <w:t xml:space="preserve">• Brandel sponsorship · press/social/broadcast connector access · managed cloud approved · pilot client champions identified</w:t>
      </w:r>
    </w:p>
    <w:p>
      <w:pPr>
        <w:pStyle w:val="Heading1"/>
        <w:spacing w:after="160" w:before="280"/>
      </w:pPr>
      <w:r>
        <w:rPr>
          <w:b/>
          <w:bCs/>
        </w:rPr>
        <w:t xml:space="preserve">16. Next Steps</w:t>
      </w:r>
    </w:p>
    <w:p>
      <w:pPr>
        <w:spacing w:after="80"/>
        <w:ind w:left="360"/>
      </w:pPr>
      <w:r>
        <w:rPr>
          <w:sz w:val="22"/>
          <w:szCs w:val="22"/>
        </w:rPr>
        <w:t xml:space="preserve">• Discovery workshop · confirm corpora and connectors · pilot cohort · firm SoW</w:t>
      </w:r>
    </w:p>
    <w:p>
      <w:pPr>
        <w:pStyle w:val="Heading1"/>
        <w:spacing w:after="160" w:before="280"/>
      </w:pPr>
      <w:r>
        <w:rPr>
          <w:b/>
          <w:bCs/>
        </w:rPr>
        <w:t xml:space="preserve">17. Future Modules Catalog (A1–F1)</w:t>
      </w:r>
    </w:p>
    <w:p>
      <w:pPr>
        <w:pStyle w:val="Heading2"/>
        <w:spacing w:after="160" w:before="280"/>
      </w:pPr>
      <w:r>
        <w:rPr>
          <w:b/>
          <w:bCs/>
        </w:rPr>
        <w:t xml:space="preserve">A — Sector Intelligence &amp; Share-of-Voice</w:t>
      </w:r>
    </w:p>
    <w:p>
      <w:pPr>
        <w:spacing w:after="80"/>
        <w:ind w:left="360"/>
      </w:pPr>
      <w:r>
        <w:rPr>
          <w:sz w:val="22"/>
          <w:szCs w:val="22"/>
        </w:rPr>
        <w:t xml:space="preserve">• A1 Sector weekly pulse briefs · A2 Share-of-voice comparator</w:t>
      </w:r>
    </w:p>
    <w:p>
      <w:pPr>
        <w:pStyle w:val="Heading2"/>
        <w:spacing w:after="160" w:before="280"/>
      </w:pPr>
      <w:r>
        <w:rPr>
          <w:b/>
          <w:bCs/>
        </w:rPr>
        <w:t xml:space="preserve">B — Crisis &amp; Brand Health</w:t>
      </w:r>
    </w:p>
    <w:p>
      <w:pPr>
        <w:spacing w:after="80"/>
        <w:ind w:left="360"/>
      </w:pPr>
      <w:r>
        <w:rPr>
          <w:sz w:val="22"/>
          <w:szCs w:val="22"/>
        </w:rPr>
        <w:t xml:space="preserve">• B1 Crisis velocity tracker · B2 Brand health narratives</w:t>
      </w:r>
    </w:p>
    <w:p>
      <w:pPr>
        <w:pStyle w:val="Heading2"/>
        <w:spacing w:after="160" w:before="280"/>
      </w:pPr>
      <w:r>
        <w:rPr>
          <w:b/>
          <w:bCs/>
        </w:rPr>
        <w:t xml:space="preserve">C — Institutional &amp; Broadcast Briefings</w:t>
      </w:r>
    </w:p>
    <w:p>
      <w:pPr>
        <w:spacing w:after="80"/>
        <w:ind w:left="360"/>
      </w:pPr>
      <w:r>
        <w:rPr>
          <w:sz w:val="22"/>
          <w:szCs w:val="22"/>
        </w:rPr>
        <w:t xml:space="preserve">• C1 Ministry media-office briefing packs · C2 Talk-show digest</w:t>
      </w:r>
    </w:p>
    <w:p>
      <w:pPr>
        <w:pStyle w:val="Heading2"/>
        <w:spacing w:after="160" w:before="280"/>
      </w:pPr>
      <w:r>
        <w:rPr>
          <w:b/>
          <w:bCs/>
        </w:rPr>
        <w:t xml:space="preserve">D — Operations &amp; Alerting</w:t>
      </w:r>
    </w:p>
    <w:p>
      <w:pPr>
        <w:spacing w:after="80"/>
        <w:ind w:left="360"/>
      </w:pPr>
      <w:r>
        <w:rPr>
          <w:sz w:val="22"/>
          <w:szCs w:val="22"/>
        </w:rPr>
        <w:t xml:space="preserve">• D1 Scheduled A4 alert templates · D2 Connector health monitor</w:t>
      </w:r>
    </w:p>
    <w:p>
      <w:pPr>
        <w:pStyle w:val="Heading2"/>
        <w:spacing w:after="160" w:before="280"/>
      </w:pPr>
      <w:r>
        <w:rPr>
          <w:b/>
          <w:bCs/>
        </w:rPr>
        <w:t xml:space="preserve">E — Portfolio Insight &amp; Campaign Analytics</w:t>
      </w:r>
    </w:p>
    <w:p>
      <w:pPr>
        <w:spacing w:after="80"/>
        <w:ind w:left="360"/>
      </w:pPr>
      <w:r>
        <w:rPr>
          <w:sz w:val="22"/>
          <w:szCs w:val="22"/>
        </w:rPr>
        <w:t xml:space="preserve">• E1 Anonymized trend analytics · E2 Campaign KPI advisor</w:t>
      </w:r>
    </w:p>
    <w:p>
      <w:pPr>
        <w:pStyle w:val="Heading2"/>
        <w:spacing w:after="160" w:before="280"/>
      </w:pPr>
      <w:r>
        <w:rPr>
          <w:b/>
          <w:bCs/>
        </w:rPr>
        <w:t xml:space="preserve">F — Policy Linkage</w:t>
      </w:r>
    </w:p>
    <w:p>
      <w:pPr>
        <w:spacing w:after="80"/>
        <w:ind w:left="360"/>
      </w:pPr>
      <w:r>
        <w:rPr>
          <w:sz w:val="22"/>
          <w:szCs w:val="22"/>
        </w:rPr>
        <w:t xml:space="preserve">• F1 Media–policy linkage advisor</w:t>
      </w:r>
    </w:p>
    <w:p>
      <w:pPr>
        <w:spacing w:after="160"/>
      </w:pPr>
      <w:r>
        <w:rPr>
          <w:sz w:val="22"/>
          <w:szCs w:val="22"/>
        </w:rPr>
        <w:t xml:space="preserve">Disclaimer: Future modules require governed sources, client DPAs and Brandel steering approval; advisory only where legal or reputational risk exists.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2026-08-05T08:05:51.482Z</dcterms:created>
  <dcterms:modified xsi:type="dcterms:W3CDTF">2026-08-05T08:05:51.482Z</dcterms:modified>
</cp:coreProperties>
</file>

<file path=docProps/custom.xml><?xml version="1.0" encoding="utf-8"?>
<Properties xmlns="http://schemas.openxmlformats.org/officeDocument/2006/custom-properties" xmlns:vt="http://schemas.openxmlformats.org/officeDocument/2006/docPropsVTypes"/>
</file>