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80"/>
      </w:pPr>
      <w:r>
        <w:rPr>
          <w:b/>
          <w:bCs/>
        </w:rPr>
        <w:t xml:space="preserve">دراسة الجدوى — MediaBrain Media Intelligence Hub</w:t>
      </w:r>
    </w:p>
    <w:p>
      <w:pPr>
        <w:spacing w:after="160"/>
      </w:pPr>
      <w:r>
        <w:rPr>
          <w:sz w:val="22"/>
          <w:szCs w:val="22"/>
        </w:rPr>
        <w:t xml:space="preserve">طبقة ذكاء اصطناعي (AI) مركزية وآمنة للإعلام — لصالح Brandel Co. ومحفظة عملائها</w:t>
      </w:r>
    </w:p>
    <w:p>
      <w:pPr>
        <w:spacing w:after="160"/>
      </w:pPr>
      <w:r>
        <w:rPr>
          <w:sz w:val="22"/>
          <w:szCs w:val="22"/>
        </w:rPr>
        <w:t xml:space="preserve">مُعدّة لـ: Brandel Co. ومحفظة عملائها (فرق التواصل المؤسسي وإدارة الأزمات، ومكاتب الإعلام الوزارية) · مرجع سوقي: خدمات المراقبة التقليدية لدى Egypt Media Monitor · إعداد: Brandel Co. · commercial@brandel.com · الإصدار 1.0 (مسودة للنقاش) — أغسطس 2026</w:t>
      </w:r>
    </w:p>
    <w:p>
      <w:pPr>
        <w:pStyle w:val="Heading1"/>
        <w:spacing w:after="160" w:before="280"/>
      </w:pPr>
      <w:r>
        <w:rPr>
          <w:b/>
          <w:bCs/>
        </w:rPr>
        <w:t xml:space="preserve">1. ضبط الوثيقة (Document Control)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500"/>
            <w:tcBorders>
              <w:top w:val="single" w:color="CCCCCC" w:sz="4"/>
              <w:left w:val="single" w:color="CCCCCC" w:sz="4"/>
              <w:bottom w:val="single" w:color="CCCCCC" w:sz="4"/>
              <w:right w:val="single" w:color="CCCCCC" w:sz="4"/>
            </w:tcBorders>
          </w:tcPr>
          <w:p>
            <w:r>
              <w:rPr>
                <w:b/>
                <w:bCs/>
                <w:sz w:val="18"/>
                <w:szCs w:val="18"/>
              </w:rPr>
              <w:t xml:space="preserve">الحقل (Field)</w:t>
            </w:r>
          </w:p>
        </w:tc>
        <w:tc>
          <w:tcPr>
            <w:tcW w:type="dxa" w:w="4500"/>
            <w:tcBorders>
              <w:top w:val="single" w:color="CCCCCC" w:sz="4"/>
              <w:left w:val="single" w:color="CCCCCC" w:sz="4"/>
              <w:bottom w:val="single" w:color="CCCCCC" w:sz="4"/>
              <w:right w:val="single" w:color="CCCCCC" w:sz="4"/>
            </w:tcBorders>
          </w:tcPr>
          <w:p>
            <w:r>
              <w:rPr>
                <w:b/>
                <w:bCs/>
                <w:sz w:val="18"/>
                <w:szCs w:val="18"/>
              </w:rPr>
              <w:t xml:space="preserve">القيمة (Value)</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عنوان الوثيقة</w:t>
            </w:r>
          </w:p>
        </w:tc>
        <w:tc>
          <w:tcPr>
            <w:tcW w:type="dxa" w:w="4500"/>
            <w:tcBorders>
              <w:top w:val="single" w:color="CCCCCC" w:sz="4"/>
              <w:left w:val="single" w:color="CCCCCC" w:sz="4"/>
              <w:bottom w:val="single" w:color="CCCCCC" w:sz="4"/>
              <w:right w:val="single" w:color="CCCCCC" w:sz="4"/>
            </w:tcBorders>
          </w:tcPr>
          <w:p>
            <w:r>
              <w:rPr>
                <w:sz w:val="18"/>
                <w:szCs w:val="18"/>
              </w:rPr>
              <w:t xml:space="preserve">دراسة الجدوى — MediaBrain Media Intelligence Hub</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مُعدّة لـ</w:t>
            </w:r>
          </w:p>
        </w:tc>
        <w:tc>
          <w:tcPr>
            <w:tcW w:type="dxa" w:w="4500"/>
            <w:tcBorders>
              <w:top w:val="single" w:color="CCCCCC" w:sz="4"/>
              <w:left w:val="single" w:color="CCCCCC" w:sz="4"/>
              <w:bottom w:val="single" w:color="CCCCCC" w:sz="4"/>
              <w:right w:val="single" w:color="CCCCCC" w:sz="4"/>
            </w:tcBorders>
          </w:tcPr>
          <w:p>
            <w:r>
              <w:rPr>
                <w:sz w:val="18"/>
                <w:szCs w:val="18"/>
              </w:rPr>
              <w:t xml:space="preserve">Brandel Co. ومحفظة عملائها (Enterprise Comms · Crisis · Ministry Media Offices)</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مُعدّة بواسطة</w:t>
            </w:r>
          </w:p>
        </w:tc>
        <w:tc>
          <w:tcPr>
            <w:tcW w:type="dxa" w:w="4500"/>
            <w:tcBorders>
              <w:top w:val="single" w:color="CCCCCC" w:sz="4"/>
              <w:left w:val="single" w:color="CCCCCC" w:sz="4"/>
              <w:bottom w:val="single" w:color="CCCCCC" w:sz="4"/>
              <w:right w:val="single" w:color="CCCCCC" w:sz="4"/>
            </w:tcBorders>
          </w:tcPr>
          <w:p>
            <w:r>
              <w:rPr>
                <w:sz w:val="18"/>
                <w:szCs w:val="18"/>
              </w:rPr>
              <w:t xml:space="preserve">Brandel Co. · commercial@brandel.com</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الوثيقة المرافقة</w:t>
            </w:r>
          </w:p>
        </w:tc>
        <w:tc>
          <w:tcPr>
            <w:tcW w:type="dxa" w:w="4500"/>
            <w:tcBorders>
              <w:top w:val="single" w:color="CCCCCC" w:sz="4"/>
              <w:left w:val="single" w:color="CCCCCC" w:sz="4"/>
              <w:bottom w:val="single" w:color="CCCCCC" w:sz="4"/>
              <w:right w:val="single" w:color="CCCCCC" w:sz="4"/>
            </w:tcBorders>
          </w:tcPr>
          <w:p>
            <w:r>
              <w:rPr>
                <w:sz w:val="18"/>
                <w:szCs w:val="18"/>
              </w:rPr>
              <w:t xml:space="preserve">وثيقة متطلبات المنتج (PRD) — MediaBrain (v1.0)</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الحالة</w:t>
            </w:r>
          </w:p>
        </w:tc>
        <w:tc>
          <w:tcPr>
            <w:tcW w:type="dxa" w:w="4500"/>
            <w:tcBorders>
              <w:top w:val="single" w:color="CCCCCC" w:sz="4"/>
              <w:left w:val="single" w:color="CCCCCC" w:sz="4"/>
              <w:bottom w:val="single" w:color="CCCCCC" w:sz="4"/>
              <w:right w:val="single" w:color="CCCCCC" w:sz="4"/>
            </w:tcBorders>
          </w:tcPr>
          <w:p>
            <w:r>
              <w:rPr>
                <w:sz w:val="18"/>
                <w:szCs w:val="18"/>
              </w:rPr>
              <w:t xml:space="preserve">مسودة — للنقاش (Draft — For Discussion)</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الإصدار</w:t>
            </w:r>
          </w:p>
        </w:tc>
        <w:tc>
          <w:tcPr>
            <w:tcW w:type="dxa" w:w="4500"/>
            <w:tcBorders>
              <w:top w:val="single" w:color="CCCCCC" w:sz="4"/>
              <w:left w:val="single" w:color="CCCCCC" w:sz="4"/>
              <w:bottom w:val="single" w:color="CCCCCC" w:sz="4"/>
              <w:right w:val="single" w:color="CCCCCC" w:sz="4"/>
            </w:tcBorders>
          </w:tcPr>
          <w:p>
            <w:r>
              <w:rPr>
                <w:sz w:val="18"/>
                <w:szCs w:val="18"/>
              </w:rPr>
              <w:t xml:space="preserve">1.0</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التاريخ</w:t>
            </w:r>
          </w:p>
        </w:tc>
        <w:tc>
          <w:tcPr>
            <w:tcW w:type="dxa" w:w="4500"/>
            <w:tcBorders>
              <w:top w:val="single" w:color="CCCCCC" w:sz="4"/>
              <w:left w:val="single" w:color="CCCCCC" w:sz="4"/>
              <w:bottom w:val="single" w:color="CCCCCC" w:sz="4"/>
              <w:right w:val="single" w:color="CCCCCC" w:sz="4"/>
            </w:tcBorders>
          </w:tcPr>
          <w:p>
            <w:r>
              <w:rPr>
                <w:sz w:val="18"/>
                <w:szCs w:val="18"/>
              </w:rPr>
              <w:t xml:space="preserve">أغسطس 2026</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الملحق</w:t>
            </w:r>
          </w:p>
        </w:tc>
        <w:tc>
          <w:tcPr>
            <w:tcW w:type="dxa" w:w="4500"/>
            <w:tcBorders>
              <w:top w:val="single" w:color="CCCCCC" w:sz="4"/>
              <w:left w:val="single" w:color="CCCCCC" w:sz="4"/>
              <w:bottom w:val="single" w:color="CCCCCC" w:sz="4"/>
              <w:right w:val="single" w:color="CCCCCC" w:sz="4"/>
            </w:tcBorders>
          </w:tcPr>
          <w:p>
            <w:r>
              <w:rPr>
                <w:sz w:val="18"/>
                <w:szCs w:val="18"/>
              </w:rPr>
              <w:t xml:space="preserve">أ — السرد المنتج (Product Narrative)</w:t>
            </w:r>
          </w:p>
        </w:tc>
      </w:tr>
    </w:tbl>
    <w:p>
      <w:pPr>
        <w:spacing w:after="160"/>
      </w:pPr>
      <w:r>
        <w:rPr>
          <w:sz w:val="22"/>
          <w:szCs w:val="22"/>
        </w:rPr>
        <w:t xml:space="preserve"/>
      </w:r>
    </w:p>
    <w:p>
      <w:pPr>
        <w:pStyle w:val="Heading1"/>
        <w:spacing w:after="160" w:before="280"/>
      </w:pPr>
      <w:r>
        <w:rPr>
          <w:b/>
          <w:bCs/>
        </w:rPr>
        <w:t xml:space="preserve">2. الملخص التنفيذي (Executive Summary)</w:t>
      </w:r>
    </w:p>
    <w:p>
      <w:pPr>
        <w:spacing w:after="160"/>
      </w:pPr>
      <w:r>
        <w:rPr>
          <w:sz w:val="22"/>
          <w:szCs w:val="22"/>
        </w:rPr>
        <w:t xml:space="preserve">تقدّم Brandel Co. خدمات ذكاء إعلامي (Media Intelligence) في فئة المراقبة التقليدية: مراقبة يومية للصحافة (Press Monitoring)، واستماع اجتماعي (Social Listening)، وقصّ بثّي (Broadcast Clipping)، وفهرسة برامج حوارية (Talk-Show Indexing). يتلقى العملاء لوحات متابعة ومقاطع وموجزات يعدّها المحللون. ما لا يتوسع بعد على مستوى المحفظة هو ذكاء فوري موثّق (Cited Intelligence) يوحّد إشارات الصحافة والتواصل والبث في إجابات قابلة للتنفيذ خلال دقائق.</w:t>
      </w:r>
    </w:p>
    <w:p>
      <w:pPr>
        <w:spacing w:after="160"/>
      </w:pPr>
      <w:r>
        <w:rPr>
          <w:sz w:val="22"/>
          <w:szCs w:val="22"/>
        </w:rPr>
        <w:t xml:space="preserve">تقترح هذه الدراسة MediaBrain: مركز ذكاء إعلامي موحد (Media Intelligence Hub) على منصة سحابية مدارة (Managed Cloud Platform) مع طبقة موصلات محكومة (Governed Connector Layer)، وفهرس إعلام موحّد (Unified Media Index)، وسجل تدقيق كامل (Audit Logging). يستضيف المركز مساعدَين: مستشار الإعلام (Media Advisor) للتحليلات والأسئلة الموثّقة، وكاتب البيانات (Statement Writer) لصياغة البيانات الصحفية والردود الإعلامية. كل إجابة تستند إلى مصادر Brandel المعتمدة — مع مساحات عمل خاصة (Private Workspaces) لكل عميل أو فريق وزاري. وتشمل المخرجات المجدولة تقارير A4 جاهزة للطباعة يوميًا حسب قطاع العميل (مثل النفط والغاز لـ Petrobel Co.).</w:t>
      </w:r>
    </w:p>
    <w:p>
      <w:pPr>
        <w:spacing w:after="160"/>
      </w:pPr>
      <w:r>
        <w:rPr>
          <w:sz w:val="22"/>
          <w:szCs w:val="22"/>
        </w:rPr>
        <w:t xml:space="preserve">التفاصيل الوظيفية الكاملة في وثيقة المتطلبات (PRD) المرافقة. المرحلة 4 (Future Work) تسرد إحدى عشرة وحدة توسّع (AI Expansion Modules) ضمن ست فئات (A1–F1).</w:t>
      </w:r>
    </w:p>
    <w:p>
      <w:pPr>
        <w:pStyle w:val="Heading1"/>
        <w:spacing w:after="160" w:before="280"/>
      </w:pPr>
      <w:r>
        <w:rPr>
          <w:b/>
          <w:bCs/>
        </w:rPr>
        <w:t xml:space="preserve">3. التوافق الاستراتيجي (Strategic Alignment)</w:t>
      </w:r>
    </w:p>
    <w:p>
      <w:pPr>
        <w:spacing w:after="160"/>
      </w:pPr>
      <w:r>
        <w:rPr>
          <w:sz w:val="22"/>
          <w:szCs w:val="22"/>
        </w:rPr>
        <w:t xml:space="preserve">يقع MediaBrain عند تقاطع أربع أولويات لـ Brandel وعملائها:</w:t>
      </w:r>
    </w:p>
    <w:p>
      <w:pPr>
        <w:spacing w:after="80"/>
        <w:ind w:left="360"/>
      </w:pPr>
      <w:r>
        <w:rPr>
          <w:sz w:val="22"/>
          <w:szCs w:val="22"/>
        </w:rPr>
        <w:t xml:space="preserve">• كفاءة المحفظة (Portfolio Efficiency) — طبقة ذكاء واحدة تخدم عملاء Brandel دون تكرار جهد المحلل لكل حساب.</w:t>
      </w:r>
    </w:p>
    <w:p>
      <w:pPr>
        <w:spacing w:after="80"/>
        <w:ind w:left="360"/>
      </w:pPr>
      <w:r>
        <w:rPr>
          <w:sz w:val="22"/>
          <w:szCs w:val="22"/>
        </w:rPr>
        <w:t xml:space="preserve">• جاهزية التواصل والأزمات (Crisis Readiness) — تفسير أسرع ومتسق لإشارات الصحافة والتواصل والبث.</w:t>
      </w:r>
    </w:p>
    <w:p>
      <w:pPr>
        <w:spacing w:after="80"/>
        <w:ind w:left="360"/>
      </w:pPr>
      <w:r>
        <w:rPr>
          <w:sz w:val="22"/>
          <w:szCs w:val="22"/>
        </w:rPr>
        <w:t xml:space="preserve">• مكاتب الإعلام الوزارية والمؤسسية — حزم إحاطة يومية وأسبوعية موثّقة (Briefing Packs).</w:t>
      </w:r>
    </w:p>
    <w:p>
      <w:pPr>
        <w:spacing w:after="80"/>
        <w:ind w:left="360"/>
      </w:pPr>
      <w:r>
        <w:rPr>
          <w:sz w:val="22"/>
          <w:szCs w:val="22"/>
        </w:rPr>
        <w:t xml:space="preserve">• نموذج تجاري قابل للتوسع (Scalable Commercial Model) — معمارية مركز قابلة لإعادة الاستخدام لقطاعات وعملاء ووحدات مستقبلية.</w:t>
      </w:r>
    </w:p>
    <w:p>
      <w:pPr>
        <w:pStyle w:val="Heading1"/>
        <w:spacing w:after="160" w:before="280"/>
      </w:pPr>
      <w:r>
        <w:rPr>
          <w:b/>
          <w:bCs/>
        </w:rPr>
        <w:t xml:space="preserve">4. الفرصة (The Opportunity)</w:t>
      </w:r>
    </w:p>
    <w:p>
      <w:pPr>
        <w:spacing w:after="160"/>
      </w:pPr>
      <w:r>
        <w:rPr>
          <w:sz w:val="22"/>
          <w:szCs w:val="22"/>
        </w:rPr>
        <w:t xml:space="preserve">اليوم يضطر محللو Brandel وفرق العملاء إلى مضاهاة يدوية بين قصاصات الصحافة، وارتفاعات المشاعر على التواصل الاجتماعي (Sentiment Spikes)، ومقاطع البرامج الحوارية، وبيانات الاتجاهات التاريخية عند إعداد نبض القطاع (Sector Pulse) وتقييمات الأزمات ومقارنات حصة الصوت (Share of Voice / SOV) والإحاطات الوزارية. اللوحات الثابتة والنشرات البريدية لا تقدّم إرشادًا موثّقًا ومخصّصًا بسرعة دورة الإعلام الحديثة.</w:t>
      </w:r>
    </w:p>
    <w:p>
      <w:pPr>
        <w:spacing w:after="160"/>
      </w:pPr>
      <w:r>
        <w:rPr>
          <w:sz w:val="22"/>
          <w:szCs w:val="22"/>
        </w:rPr>
        <w:t xml:space="preserve">طبقة مرجعية بالذكاء الاصطناعي، مستندة حصريًا إلى مصادر Brandel المحكومة وفهرس الإعلام الموحّد، تمنح كل مستخدم مخوّل إجابة فورية موثّقة — وتمنح رعاة Brandel رؤية مجمّعة مجهولة الهوية (Anonymized Portfolio Trends) حول صحة الموصلات وفجوات المعرفة.</w:t>
      </w:r>
    </w:p>
    <w:p>
      <w:pPr>
        <w:pStyle w:val="Heading1"/>
        <w:spacing w:after="160" w:before="280"/>
      </w:pPr>
      <w:r>
        <w:rPr>
          <w:b/>
          <w:bCs/>
        </w:rPr>
        <w:t xml:space="preserve">4ب. مرجع سوقي — خدمات مراقبة متواضعة (Market Reference)</w:t>
      </w:r>
    </w:p>
    <w:p>
      <w:pPr>
        <w:spacing w:after="160"/>
      </w:pPr>
      <w:r>
        <w:rPr>
          <w:sz w:val="22"/>
          <w:szCs w:val="22"/>
        </w:rPr>
        <w:t xml:space="preserve">مرجع عام مفيد لمستوى الخدمات التقليدية المتواضعة اليوم هو Egypt Media Monitor (egyptmediamonitor.com): مراقبة إعلامية (Media Monitoring)، واستماع اجتماعي (Social Listening)، وقصّ صحفي (Press Clipping)، وآراء وتحليلات تحريرية (Editorial Analysis)، وملخصات البرامج الحوارية التلفزيونية (TV Talk-Show Summaries)، وملخصات إعلامية تنفيذية (Media Summaries) — تُقدَّم كموجزات يعدّها فريق محترفين. هذه القدرات مطلوبة وقيّمة في السوق المصري؛ لكنها لا توفّر بعد مستشارًا ذكيًا فوريًا بإجابات موثّقة، ولا صياغة بيانات مستندة إلى مصادر محكومة، ولا حزم تقارير A4 مجدولة على نطاق مركز موحّد. صُمّم MediaBrain ليجلس فوق هذا النوع من المراقبة التشغيلية — محوّلًا الإشارات إلى قرارات.</w:t>
      </w:r>
    </w:p>
    <w:p>
      <w:pPr>
        <w:spacing w:after="80"/>
        <w:ind w:left="360"/>
      </w:pPr>
      <w:r>
        <w:rPr>
          <w:sz w:val="22"/>
          <w:szCs w:val="22"/>
        </w:rPr>
        <w:t xml:space="preserve">• ما يقدّمه النموذج التقليدي (مثل EMM): تقارير يومية، قصّ، استماع، ملخصات برامج.</w:t>
      </w:r>
    </w:p>
    <w:p>
      <w:pPr>
        <w:spacing w:after="80"/>
        <w:ind w:left="360"/>
      </w:pPr>
      <w:r>
        <w:rPr>
          <w:sz w:val="22"/>
          <w:szCs w:val="22"/>
        </w:rPr>
        <w:t xml:space="preserve">• ما يضيفه MediaBrain: Media Advisor + Statement Writer + فهرس إشارات موحّد + مساحات خاصة + تدقيق + تقارير A4 مجدولة.</w:t>
      </w:r>
    </w:p>
    <w:p>
      <w:pPr>
        <w:spacing w:after="80"/>
        <w:ind w:left="360"/>
      </w:pPr>
      <w:r>
        <w:rPr>
          <w:sz w:val="22"/>
          <w:szCs w:val="22"/>
        </w:rPr>
        <w:t xml:space="preserve">• الموقع المرجعي: https://egyptmediamonitor.com/</w:t>
      </w:r>
    </w:p>
    <w:p>
      <w:pPr>
        <w:pStyle w:val="Heading1"/>
        <w:spacing w:after="160" w:before="280"/>
      </w:pPr>
      <w:r>
        <w:rPr>
          <w:b/>
          <w:bCs/>
        </w:rPr>
        <w:t xml:space="preserve">5. القيمة المقترحة (Value Proposition)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500"/>
            <w:tcBorders>
              <w:top w:val="single" w:color="CCCCCC" w:sz="4"/>
              <w:left w:val="single" w:color="CCCCCC" w:sz="4"/>
              <w:bottom w:val="single" w:color="CCCCCC" w:sz="4"/>
              <w:right w:val="single" w:color="CCCCCC" w:sz="4"/>
            </w:tcBorders>
          </w:tcPr>
          <w:p>
            <w:r>
              <w:rPr>
                <w:b/>
                <w:bCs/>
                <w:sz w:val="18"/>
                <w:szCs w:val="18"/>
              </w:rPr>
              <w:t xml:space="preserve">المنفعة (Benefit)</w:t>
            </w:r>
          </w:p>
        </w:tc>
        <w:tc>
          <w:tcPr>
            <w:tcW w:type="dxa" w:w="4500"/>
            <w:tcBorders>
              <w:top w:val="single" w:color="CCCCCC" w:sz="4"/>
              <w:left w:val="single" w:color="CCCCCC" w:sz="4"/>
              <w:bottom w:val="single" w:color="CCCCCC" w:sz="4"/>
              <w:right w:val="single" w:color="CCCCCC" w:sz="4"/>
            </w:tcBorders>
          </w:tcPr>
          <w:p>
            <w:r>
              <w:rPr>
                <w:b/>
                <w:bCs/>
                <w:sz w:val="18"/>
                <w:szCs w:val="18"/>
              </w:rPr>
              <w:t xml:space="preserve">الوصف (Description)</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السرعة (Speed)</w:t>
            </w:r>
          </w:p>
        </w:tc>
        <w:tc>
          <w:tcPr>
            <w:tcW w:type="dxa" w:w="4500"/>
            <w:tcBorders>
              <w:top w:val="single" w:color="CCCCCC" w:sz="4"/>
              <w:left w:val="single" w:color="CCCCCC" w:sz="4"/>
              <w:bottom w:val="single" w:color="CCCCCC" w:sz="4"/>
              <w:right w:val="single" w:color="CCCCCC" w:sz="4"/>
            </w:tcBorders>
          </w:tcPr>
          <w:p>
            <w:r>
              <w:rPr>
                <w:sz w:val="18"/>
                <w:szCs w:val="18"/>
              </w:rPr>
              <w:t xml:space="preserve">أسئلة الإعلام والأزمات تُجاب خلال ثوانٍ من الصحافة والتواصل والبث والمصادر المفهرسة.</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الاتساق (Consistency)</w:t>
            </w:r>
          </w:p>
        </w:tc>
        <w:tc>
          <w:tcPr>
            <w:tcW w:type="dxa" w:w="4500"/>
            <w:tcBorders>
              <w:top w:val="single" w:color="CCCCCC" w:sz="4"/>
              <w:left w:val="single" w:color="CCCCCC" w:sz="4"/>
              <w:bottom w:val="single" w:color="CCCCCC" w:sz="4"/>
              <w:right w:val="single" w:color="CCCCCC" w:sz="4"/>
            </w:tcBorders>
          </w:tcPr>
          <w:p>
            <w:r>
              <w:rPr>
                <w:sz w:val="18"/>
                <w:szCs w:val="18"/>
              </w:rPr>
              <w:t xml:space="preserve">تفسير واحد معتمد من Brandel لمعايير المراقبة والإحاطة عبر العملاء.</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التخصيص (Personalization)</w:t>
            </w:r>
          </w:p>
        </w:tc>
        <w:tc>
          <w:tcPr>
            <w:tcW w:type="dxa" w:w="4500"/>
            <w:tcBorders>
              <w:top w:val="single" w:color="CCCCCC" w:sz="4"/>
              <w:left w:val="single" w:color="CCCCCC" w:sz="4"/>
              <w:bottom w:val="single" w:color="CCCCCC" w:sz="4"/>
              <w:right w:val="single" w:color="CCCCCC" w:sz="4"/>
            </w:tcBorders>
          </w:tcPr>
          <w:p>
            <w:r>
              <w:rPr>
                <w:sz w:val="18"/>
                <w:szCs w:val="18"/>
              </w:rPr>
              <w:t xml:space="preserve">إجابات تعكس كلمات العميل وحدوده وموجزاته الخاصة دون كشفها للأقران.</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تخفيف عبء المحللين</w:t>
            </w:r>
          </w:p>
        </w:tc>
        <w:tc>
          <w:tcPr>
            <w:tcW w:type="dxa" w:w="4500"/>
            <w:tcBorders>
              <w:top w:val="single" w:color="CCCCCC" w:sz="4"/>
              <w:left w:val="single" w:color="CCCCCC" w:sz="4"/>
              <w:bottom w:val="single" w:color="CCCCCC" w:sz="4"/>
              <w:right w:val="single" w:color="CCCCCC" w:sz="4"/>
            </w:tcBorders>
          </w:tcPr>
          <w:p>
            <w:r>
              <w:rPr>
                <w:sz w:val="18"/>
                <w:szCs w:val="18"/>
              </w:rPr>
              <w:t xml:space="preserve">تحرير مكاتب Brandel وفرق التواصل من إعداد النبض وSOV والملخصات المتكررة.</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رؤية الراعي (Sponsor Visibility)</w:t>
            </w:r>
          </w:p>
        </w:tc>
        <w:tc>
          <w:tcPr>
            <w:tcW w:type="dxa" w:w="4500"/>
            <w:tcBorders>
              <w:top w:val="single" w:color="CCCCCC" w:sz="4"/>
              <w:left w:val="single" w:color="CCCCCC" w:sz="4"/>
              <w:bottom w:val="single" w:color="CCCCCC" w:sz="4"/>
              <w:right w:val="single" w:color="CCCCCC" w:sz="4"/>
            </w:tcBorders>
          </w:tcPr>
          <w:p>
            <w:r>
              <w:rPr>
                <w:sz w:val="18"/>
                <w:szCs w:val="18"/>
              </w:rPr>
              <w:t xml:space="preserve">تقارير مجمّعة مجهولة عن الموضوعات الساخنة واتجاهات القطاعات وحالة الموصلات.</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نموذج قابل للتوسع</w:t>
            </w:r>
          </w:p>
        </w:tc>
        <w:tc>
          <w:tcPr>
            <w:tcW w:type="dxa" w:w="4500"/>
            <w:tcBorders>
              <w:top w:val="single" w:color="CCCCCC" w:sz="4"/>
              <w:left w:val="single" w:color="CCCCCC" w:sz="4"/>
              <w:bottom w:val="single" w:color="CCCCCC" w:sz="4"/>
              <w:right w:val="single" w:color="CCCCCC" w:sz="4"/>
            </w:tcBorders>
          </w:tcPr>
          <w:p>
            <w:r>
              <w:rPr>
                <w:sz w:val="18"/>
                <w:szCs w:val="18"/>
              </w:rPr>
              <w:t xml:space="preserve">مركز قابل لإعادة الاستخدام لعملاء جدد وحسابات وزارية ووحدات مستقبلية.</w:t>
            </w:r>
          </w:p>
        </w:tc>
      </w:tr>
    </w:tbl>
    <w:p>
      <w:pPr>
        <w:spacing w:after="160"/>
      </w:pPr>
      <w:r>
        <w:rPr>
          <w:sz w:val="22"/>
          <w:szCs w:val="22"/>
        </w:rPr>
        <w:t xml:space="preserve"/>
      </w:r>
    </w:p>
    <w:p>
      <w:pPr>
        <w:pStyle w:val="Heading1"/>
        <w:spacing w:after="160" w:before="280"/>
      </w:pPr>
      <w:r>
        <w:rPr>
          <w:b/>
          <w:bCs/>
        </w:rPr>
        <w:t xml:space="preserve">6. خيارات المعمارية والتوصية (Architecture Options)</w:t>
      </w:r>
    </w:p>
    <w:p>
      <w:pPr>
        <w:pStyle w:val="Heading2"/>
        <w:spacing w:after="160" w:before="280"/>
      </w:pPr>
      <w:r>
        <w:rPr>
          <w:b/>
          <w:bCs/>
        </w:rPr>
        <w:t xml:space="preserve">الخيار أ — المركز المركزي (Option A — Centralized Hub) · مُوصى به للمرحلة 1</w:t>
      </w:r>
    </w:p>
    <w:p>
      <w:pPr>
        <w:spacing w:after="160"/>
      </w:pPr>
      <w:r>
        <w:rPr>
          <w:sz w:val="22"/>
          <w:szCs w:val="22"/>
        </w:rPr>
        <w:t xml:space="preserve">منصة ذكاء واحدة محكومة من Brandel تخدم العملاء المؤسسيين وفرق الأزمات ومكاتب الإعلام من قاعدة معرفة إعلامية مشتركة منتقاة، مع مساحة عمل خاصة معزولة لكل عميل أو فريق مؤسسي.</w:t>
      </w:r>
    </w:p>
    <w:p>
      <w:pPr>
        <w:spacing w:after="80"/>
        <w:ind w:left="360"/>
      </w:pPr>
      <w:r>
        <w:rPr>
          <w:sz w:val="22"/>
          <w:szCs w:val="22"/>
        </w:rPr>
        <w:t xml:space="preserve">• أقل تكلفة وأسرع وصول للقيمة؛ فهرس إعلام وطبقة موصلات واحدة مع تطوّر التغذيات.</w:t>
      </w:r>
    </w:p>
    <w:p>
      <w:pPr>
        <w:spacing w:after="80"/>
        <w:ind w:left="360"/>
      </w:pPr>
      <w:r>
        <w:rPr>
          <w:sz w:val="22"/>
          <w:szCs w:val="22"/>
        </w:rPr>
        <w:t xml:space="preserve">• نقطة واحدة لحوكمة الأمن وصلاحيات الأدوار (RBAC) والتدقيق لعمليات Brandel.</w:t>
      </w:r>
    </w:p>
    <w:p>
      <w:pPr>
        <w:spacing w:after="80"/>
        <w:ind w:left="360"/>
      </w:pPr>
      <w:r>
        <w:rPr>
          <w:sz w:val="22"/>
          <w:szCs w:val="22"/>
        </w:rPr>
        <w:t xml:space="preserve">• إجابات موثّقة متسقة حسب التصميم عبر محفظة العملاء.</w:t>
      </w:r>
    </w:p>
    <w:p>
      <w:pPr>
        <w:pStyle w:val="Heading2"/>
        <w:spacing w:after="160" w:before="280"/>
      </w:pPr>
      <w:r>
        <w:rPr>
          <w:b/>
          <w:bCs/>
        </w:rPr>
        <w:t xml:space="preserve">الخيار ب — مثيلات مخصّصة لكل عميل (Option B — Per-Client Dedicated Instances)</w:t>
      </w:r>
    </w:p>
    <w:p>
      <w:pPr>
        <w:spacing w:after="160"/>
      </w:pPr>
      <w:r>
        <w:rPr>
          <w:sz w:val="22"/>
          <w:szCs w:val="22"/>
        </w:rPr>
        <w:t xml:space="preserve">مثيلات منصة معزولة بالكامل لكل عميل كبير أو حساب وزاري — أعلى عزل، تكلفة أعلى ماديًا؛ يُؤجَّل ما لم تفرض مراجعة أمن المرحلة 1 أو متطلبات تعاقدية ذلك.</w:t>
      </w:r>
    </w:p>
    <w:p>
      <w:pPr>
        <w:pStyle w:val="Heading2"/>
        <w:spacing w:after="160" w:before="280"/>
      </w:pPr>
      <w:r>
        <w:rPr>
          <w:b/>
          <w:bCs/>
        </w:rPr>
        <w:t xml:space="preserve">منصة سحابية مدارة (Managed Cloud — بدون متطلب GPU سيادي)</w:t>
      </w:r>
    </w:p>
    <w:p>
      <w:pPr>
        <w:spacing w:after="160"/>
      </w:pPr>
      <w:r>
        <w:rPr>
          <w:sz w:val="22"/>
          <w:szCs w:val="22"/>
        </w:rPr>
        <w:t xml:space="preserve">الاستدلال (Inference) والتضمينات (Embeddings) والتخزين المتجهي (Vector Storage) على منصة سحابية مدارة مع تشفير مؤسسي وخيارات استضافة إقليمية واتفاقية مستوى خدمة (SLA). طبقة موصلات محكومة تستوعب تغذيات الصحافة والتواصل والبث وموجزات العملاء في فهرس الإعلام الموحّد. سجل تدقيق كامل للاستعلامات ومطابقة المصادر وتوليد الإجابات. لا استناد إلى الإنترنت المفتوح (No Open-Internet Grounding).</w:t>
      </w:r>
    </w:p>
    <w:p>
      <w:pPr>
        <w:pStyle w:val="Heading1"/>
        <w:spacing w:after="160" w:before="280"/>
      </w:pPr>
      <w:r>
        <w:rPr>
          <w:b/>
          <w:bCs/>
        </w:rPr>
        <w:t xml:space="preserve">7. إطار التكلفة والاشتراك الإرشادي (Indicative Cost &amp; Subscription)</w:t>
      </w:r>
    </w:p>
    <w:p>
      <w:pPr>
        <w:spacing w:after="160"/>
      </w:pPr>
      <w:r>
        <w:rPr>
          <w:sz w:val="22"/>
          <w:szCs w:val="22"/>
        </w:rPr>
        <w:t xml:space="preserve">نطاقات مراحل وتقديرات اشتراك إرشادية فقط — ليست عرض أسعار ملزمًا. يمكن مناقشة مقترح تقني ومالي مفصل لاحقًا في ورشة اكتشاف المرحلة 0، التي تحوّل هذا الإطار إلى بيان عمل رسمي (Statement of Work).</w:t>
      </w:r>
    </w:p>
    <w:p>
      <w:pPr>
        <w:pStyle w:val="Heading2"/>
        <w:spacing w:after="160" w:before="280"/>
      </w:pPr>
      <w:r>
        <w:rPr>
          <w:b/>
          <w:bCs/>
        </w:rPr>
        <w:t xml:space="preserve">7.1 نطاقات مراحل التسليم</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4"/>
              <w:left w:val="single" w:color="CCCCCC" w:sz="4"/>
              <w:bottom w:val="single" w:color="CCCCCC" w:sz="4"/>
              <w:right w:val="single" w:color="CCCCCC" w:sz="4"/>
            </w:tcBorders>
          </w:tcPr>
          <w:p>
            <w:r>
              <w:rPr>
                <w:b/>
                <w:bCs/>
                <w:sz w:val="18"/>
                <w:szCs w:val="18"/>
              </w:rPr>
              <w:t xml:space="preserve">المرحلة (Phase)</w:t>
            </w:r>
          </w:p>
        </w:tc>
        <w:tc>
          <w:tcPr>
            <w:tcW w:type="dxa" w:w="3000"/>
            <w:tcBorders>
              <w:top w:val="single" w:color="CCCCCC" w:sz="4"/>
              <w:left w:val="single" w:color="CCCCCC" w:sz="4"/>
              <w:bottom w:val="single" w:color="CCCCCC" w:sz="4"/>
              <w:right w:val="single" w:color="CCCCCC" w:sz="4"/>
            </w:tcBorders>
          </w:tcPr>
          <w:p>
            <w:r>
              <w:rPr>
                <w:b/>
                <w:bCs/>
                <w:sz w:val="18"/>
                <w:szCs w:val="18"/>
              </w:rPr>
              <w:t xml:space="preserve">التركيز</w:t>
            </w:r>
          </w:p>
        </w:tc>
        <w:tc>
          <w:tcPr>
            <w:tcW w:type="dxa" w:w="3000"/>
            <w:tcBorders>
              <w:top w:val="single" w:color="CCCCCC" w:sz="4"/>
              <w:left w:val="single" w:color="CCCCCC" w:sz="4"/>
              <w:bottom w:val="single" w:color="CCCCCC" w:sz="4"/>
              <w:right w:val="single" w:color="CCCCCC" w:sz="4"/>
            </w:tcBorders>
          </w:tcPr>
          <w:p>
            <w:r>
              <w:rPr>
                <w:b/>
                <w:bCs/>
                <w:sz w:val="18"/>
                <w:szCs w:val="18"/>
              </w:rPr>
              <w:t xml:space="preserve">النطاق الإرشادي</w:t>
            </w:r>
          </w:p>
        </w:tc>
      </w:tr>
      <w:tr>
        <w:tc>
          <w:tcPr>
            <w:tcW w:type="dxa" w:w="3000"/>
            <w:tcBorders>
              <w:top w:val="single" w:color="CCCCCC" w:sz="4"/>
              <w:left w:val="single" w:color="CCCCCC" w:sz="4"/>
              <w:bottom w:val="single" w:color="CCCCCC" w:sz="4"/>
              <w:right w:val="single" w:color="CCCCCC" w:sz="4"/>
            </w:tcBorders>
          </w:tcPr>
          <w:p>
            <w:r>
              <w:rPr>
                <w:sz w:val="18"/>
                <w:szCs w:val="18"/>
              </w:rPr>
              <w:t xml:space="preserve">0 الاستكشاف (Discovery)</w:t>
            </w:r>
          </w:p>
        </w:tc>
        <w:tc>
          <w:tcPr>
            <w:tcW w:type="dxa" w:w="3000"/>
            <w:tcBorders>
              <w:top w:val="single" w:color="CCCCCC" w:sz="4"/>
              <w:left w:val="single" w:color="CCCCCC" w:sz="4"/>
              <w:bottom w:val="single" w:color="CCCCCC" w:sz="4"/>
              <w:right w:val="single" w:color="CCCCCC" w:sz="4"/>
            </w:tcBorders>
          </w:tcPr>
          <w:p>
            <w:r>
              <w:rPr>
                <w:sz w:val="18"/>
                <w:szCs w:val="18"/>
              </w:rPr>
              <w:t xml:space="preserve">الأمن، وصول الموصلات، عملاء تجريبيون</w:t>
            </w:r>
          </w:p>
        </w:tc>
        <w:tc>
          <w:tcPr>
            <w:tcW w:type="dxa" w:w="3000"/>
            <w:tcBorders>
              <w:top w:val="single" w:color="CCCCCC" w:sz="4"/>
              <w:left w:val="single" w:color="CCCCCC" w:sz="4"/>
              <w:bottom w:val="single" w:color="CCCCCC" w:sz="4"/>
              <w:right w:val="single" w:color="CCCCCC" w:sz="4"/>
            </w:tcBorders>
          </w:tcPr>
          <w:p>
            <w:r>
              <w:rPr>
                <w:sz w:val="18"/>
                <w:szCs w:val="18"/>
              </w:rPr>
              <w:t xml:space="preserve">ورشة + رسوم اكتشاف ثابتة</w:t>
            </w:r>
          </w:p>
        </w:tc>
      </w:tr>
      <w:tr>
        <w:tc>
          <w:tcPr>
            <w:tcW w:type="dxa" w:w="3000"/>
            <w:tcBorders>
              <w:top w:val="single" w:color="CCCCCC" w:sz="4"/>
              <w:left w:val="single" w:color="CCCCCC" w:sz="4"/>
              <w:bottom w:val="single" w:color="CCCCCC" w:sz="4"/>
              <w:right w:val="single" w:color="CCCCCC" w:sz="4"/>
            </w:tcBorders>
          </w:tcPr>
          <w:p>
            <w:r>
              <w:rPr>
                <w:sz w:val="18"/>
                <w:szCs w:val="18"/>
              </w:rPr>
              <w:t xml:space="preserve">1 بناء النموذج (Pilot Build)</w:t>
            </w:r>
          </w:p>
        </w:tc>
        <w:tc>
          <w:tcPr>
            <w:tcW w:type="dxa" w:w="3000"/>
            <w:tcBorders>
              <w:top w:val="single" w:color="CCCCCC" w:sz="4"/>
              <w:left w:val="single" w:color="CCCCCC" w:sz="4"/>
              <w:bottom w:val="single" w:color="CCCCCC" w:sz="4"/>
              <w:right w:val="single" w:color="CCCCCC" w:sz="4"/>
            </w:tcBorders>
          </w:tcPr>
          <w:p>
            <w:r>
              <w:rPr>
                <w:sz w:val="18"/>
                <w:szCs w:val="18"/>
              </w:rPr>
              <w:t xml:space="preserve">المركز + فهرس الإعلام + 2–3 مساحات عمل</w:t>
            </w:r>
          </w:p>
        </w:tc>
        <w:tc>
          <w:tcPr>
            <w:tcW w:type="dxa" w:w="3000"/>
            <w:tcBorders>
              <w:top w:val="single" w:color="CCCCCC" w:sz="4"/>
              <w:left w:val="single" w:color="CCCCCC" w:sz="4"/>
              <w:bottom w:val="single" w:color="CCCCCC" w:sz="4"/>
              <w:right w:val="single" w:color="CCCCCC" w:sz="4"/>
            </w:tcBorders>
          </w:tcPr>
          <w:p>
            <w:r>
              <w:rPr>
                <w:sz w:val="18"/>
                <w:szCs w:val="18"/>
              </w:rPr>
              <w:t xml:space="preserve">بناء + بنية سحابية شهرية</w:t>
            </w:r>
          </w:p>
        </w:tc>
      </w:tr>
      <w:tr>
        <w:tc>
          <w:tcPr>
            <w:tcW w:type="dxa" w:w="3000"/>
            <w:tcBorders>
              <w:top w:val="single" w:color="CCCCCC" w:sz="4"/>
              <w:left w:val="single" w:color="CCCCCC" w:sz="4"/>
              <w:bottom w:val="single" w:color="CCCCCC" w:sz="4"/>
              <w:right w:val="single" w:color="CCCCCC" w:sz="4"/>
            </w:tcBorders>
          </w:tcPr>
          <w:p>
            <w:r>
              <w:rPr>
                <w:sz w:val="18"/>
                <w:szCs w:val="18"/>
              </w:rPr>
              <w:t xml:space="preserve">2 التقييم (Pilot Eval)</w:t>
            </w:r>
          </w:p>
        </w:tc>
        <w:tc>
          <w:tcPr>
            <w:tcW w:type="dxa" w:w="3000"/>
            <w:tcBorders>
              <w:top w:val="single" w:color="CCCCCC" w:sz="4"/>
              <w:left w:val="single" w:color="CCCCCC" w:sz="4"/>
              <w:bottom w:val="single" w:color="CCCCCC" w:sz="4"/>
              <w:right w:val="single" w:color="CCCCCC" w:sz="4"/>
            </w:tcBorders>
          </w:tcPr>
          <w:p>
            <w:r>
              <w:rPr>
                <w:sz w:val="18"/>
                <w:szCs w:val="18"/>
              </w:rPr>
              <w:t xml:space="preserve">مقاييس، تحصين، تحديث التغذيات</w:t>
            </w:r>
          </w:p>
        </w:tc>
        <w:tc>
          <w:tcPr>
            <w:tcW w:type="dxa" w:w="3000"/>
            <w:tcBorders>
              <w:top w:val="single" w:color="CCCCCC" w:sz="4"/>
              <w:left w:val="single" w:color="CCCCCC" w:sz="4"/>
              <w:bottom w:val="single" w:color="CCCCCC" w:sz="4"/>
              <w:right w:val="single" w:color="CCCCCC" w:sz="4"/>
            </w:tcBorders>
          </w:tcPr>
          <w:p>
            <w:r>
              <w:rPr>
                <w:sz w:val="18"/>
                <w:szCs w:val="18"/>
              </w:rPr>
              <w:t xml:space="preserve">تشغيل + دعم</w:t>
            </w:r>
          </w:p>
        </w:tc>
      </w:tr>
      <w:tr>
        <w:tc>
          <w:tcPr>
            <w:tcW w:type="dxa" w:w="3000"/>
            <w:tcBorders>
              <w:top w:val="single" w:color="CCCCCC" w:sz="4"/>
              <w:left w:val="single" w:color="CCCCCC" w:sz="4"/>
              <w:bottom w:val="single" w:color="CCCCCC" w:sz="4"/>
              <w:right w:val="single" w:color="CCCCCC" w:sz="4"/>
            </w:tcBorders>
          </w:tcPr>
          <w:p>
            <w:r>
              <w:rPr>
                <w:sz w:val="18"/>
                <w:szCs w:val="18"/>
              </w:rPr>
              <w:t xml:space="preserve">3 تعميم المحفظة (Roll-out)</w:t>
            </w:r>
          </w:p>
        </w:tc>
        <w:tc>
          <w:tcPr>
            <w:tcW w:type="dxa" w:w="3000"/>
            <w:tcBorders>
              <w:top w:val="single" w:color="CCCCCC" w:sz="4"/>
              <w:left w:val="single" w:color="CCCCCC" w:sz="4"/>
              <w:bottom w:val="single" w:color="CCCCCC" w:sz="4"/>
              <w:right w:val="single" w:color="CCCCCC" w:sz="4"/>
            </w:tcBorders>
          </w:tcPr>
          <w:p>
            <w:r>
              <w:rPr>
                <w:sz w:val="18"/>
                <w:szCs w:val="18"/>
              </w:rPr>
              <w:t xml:space="preserve">باقي الحسابات المؤسسية والوزارية</w:t>
            </w:r>
          </w:p>
        </w:tc>
        <w:tc>
          <w:tcPr>
            <w:tcW w:type="dxa" w:w="3000"/>
            <w:tcBorders>
              <w:top w:val="single" w:color="CCCCCC" w:sz="4"/>
              <w:left w:val="single" w:color="CCCCCC" w:sz="4"/>
              <w:bottom w:val="single" w:color="CCCCCC" w:sz="4"/>
              <w:right w:val="single" w:color="CCCCCC" w:sz="4"/>
            </w:tcBorders>
          </w:tcPr>
          <w:p>
            <w:r>
              <w:rPr>
                <w:sz w:val="18"/>
                <w:szCs w:val="18"/>
              </w:rPr>
              <w:t xml:space="preserve">تعميم + سعة</w:t>
            </w:r>
          </w:p>
        </w:tc>
      </w:tr>
      <w:tr>
        <w:tc>
          <w:tcPr>
            <w:tcW w:type="dxa" w:w="3000"/>
            <w:tcBorders>
              <w:top w:val="single" w:color="CCCCCC" w:sz="4"/>
              <w:left w:val="single" w:color="CCCCCC" w:sz="4"/>
              <w:bottom w:val="single" w:color="CCCCCC" w:sz="4"/>
              <w:right w:val="single" w:color="CCCCCC" w:sz="4"/>
            </w:tcBorders>
          </w:tcPr>
          <w:p>
            <w:r>
              <w:rPr>
                <w:sz w:val="18"/>
                <w:szCs w:val="18"/>
              </w:rPr>
              <w:t xml:space="preserve">4 التوسع والمستقبل</w:t>
            </w:r>
          </w:p>
        </w:tc>
        <w:tc>
          <w:tcPr>
            <w:tcW w:type="dxa" w:w="3000"/>
            <w:tcBorders>
              <w:top w:val="single" w:color="CCCCCC" w:sz="4"/>
              <w:left w:val="single" w:color="CCCCCC" w:sz="4"/>
              <w:bottom w:val="single" w:color="CCCCCC" w:sz="4"/>
              <w:right w:val="single" w:color="CCCCCC" w:sz="4"/>
            </w:tcBorders>
          </w:tcPr>
          <w:p>
            <w:r>
              <w:rPr>
                <w:sz w:val="18"/>
                <w:szCs w:val="18"/>
              </w:rPr>
              <w:t xml:space="preserve">قطاعات + فهرس وحدات المستقبل</w:t>
            </w:r>
          </w:p>
        </w:tc>
        <w:tc>
          <w:tcPr>
            <w:tcW w:type="dxa" w:w="3000"/>
            <w:tcBorders>
              <w:top w:val="single" w:color="CCCCCC" w:sz="4"/>
              <w:left w:val="single" w:color="CCCCCC" w:sz="4"/>
              <w:bottom w:val="single" w:color="CCCCCC" w:sz="4"/>
              <w:right w:val="single" w:color="CCCCCC" w:sz="4"/>
            </w:tcBorders>
          </w:tcPr>
          <w:p>
            <w:r>
              <w:rPr>
                <w:sz w:val="18"/>
                <w:szCs w:val="18"/>
              </w:rPr>
              <w:t xml:space="preserve">مستمر + بيانات عمل للوحدات</w:t>
            </w:r>
          </w:p>
        </w:tc>
      </w:tr>
    </w:tbl>
    <w:p>
      <w:pPr>
        <w:spacing w:after="160"/>
      </w:pPr>
      <w:r>
        <w:rPr>
          <w:sz w:val="22"/>
          <w:szCs w:val="22"/>
        </w:rPr>
        <w:t xml:space="preserve"/>
      </w:r>
    </w:p>
    <w:p>
      <w:pPr>
        <w:pStyle w:val="Heading2"/>
        <w:spacing w:after="160" w:before="280"/>
      </w:pPr>
      <w:r>
        <w:rPr>
          <w:b/>
          <w:bCs/>
        </w:rPr>
        <w:t xml:space="preserve">7.2 تقدير اشتراك إرشادي (USD و معادل EGP)</w:t>
      </w:r>
    </w:p>
    <w:p>
      <w:pPr>
        <w:spacing w:after="160"/>
      </w:pPr>
      <w:r>
        <w:rPr>
          <w:sz w:val="22"/>
          <w:szCs w:val="22"/>
        </w:rPr>
        <w:t xml:space="preserve">التقديرات أدناه تفترض ≈ 48 جنيهًا لكل 1 دولار لأغراض التخطيط. التسعير النهائي يُؤكَّد في المقترح التقني والمالي لاحقًا.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250"/>
            <w:tcBorders>
              <w:top w:val="single" w:color="CCCCCC" w:sz="4"/>
              <w:left w:val="single" w:color="CCCCCC" w:sz="4"/>
              <w:bottom w:val="single" w:color="CCCCCC" w:sz="4"/>
              <w:right w:val="single" w:color="CCCCCC" w:sz="4"/>
            </w:tcBorders>
          </w:tcPr>
          <w:p>
            <w:r>
              <w:rPr>
                <w:b/>
                <w:bCs/>
                <w:sz w:val="18"/>
                <w:szCs w:val="18"/>
              </w:rPr>
              <w:t xml:space="preserve">الشريحة (Tier)</w:t>
            </w:r>
          </w:p>
        </w:tc>
        <w:tc>
          <w:tcPr>
            <w:tcW w:type="dxa" w:w="2250"/>
            <w:tcBorders>
              <w:top w:val="single" w:color="CCCCCC" w:sz="4"/>
              <w:left w:val="single" w:color="CCCCCC" w:sz="4"/>
              <w:bottom w:val="single" w:color="CCCCCC" w:sz="4"/>
              <w:right w:val="single" w:color="CCCCCC" w:sz="4"/>
            </w:tcBorders>
          </w:tcPr>
          <w:p>
            <w:r>
              <w:rPr>
                <w:b/>
                <w:bCs/>
                <w:sz w:val="18"/>
                <w:szCs w:val="18"/>
              </w:rPr>
              <w:t xml:space="preserve">شهري USD (تقديري)</w:t>
            </w:r>
          </w:p>
        </w:tc>
        <w:tc>
          <w:tcPr>
            <w:tcW w:type="dxa" w:w="2250"/>
            <w:tcBorders>
              <w:top w:val="single" w:color="CCCCCC" w:sz="4"/>
              <w:left w:val="single" w:color="CCCCCC" w:sz="4"/>
              <w:bottom w:val="single" w:color="CCCCCC" w:sz="4"/>
              <w:right w:val="single" w:color="CCCCCC" w:sz="4"/>
            </w:tcBorders>
          </w:tcPr>
          <w:p>
            <w:r>
              <w:rPr>
                <w:b/>
                <w:bCs/>
                <w:sz w:val="18"/>
                <w:szCs w:val="18"/>
              </w:rPr>
              <w:t xml:space="preserve">معادل EGP شهري</w:t>
            </w:r>
          </w:p>
        </w:tc>
        <w:tc>
          <w:tcPr>
            <w:tcW w:type="dxa" w:w="2250"/>
            <w:tcBorders>
              <w:top w:val="single" w:color="CCCCCC" w:sz="4"/>
              <w:left w:val="single" w:color="CCCCCC" w:sz="4"/>
              <w:bottom w:val="single" w:color="CCCCCC" w:sz="4"/>
              <w:right w:val="single" w:color="CCCCCC" w:sz="4"/>
            </w:tcBorders>
          </w:tcPr>
          <w:p>
            <w:r>
              <w:rPr>
                <w:b/>
                <w:bCs/>
                <w:sz w:val="18"/>
                <w:szCs w:val="18"/>
              </w:rPr>
              <w:t xml:space="preserve">النطاق المشمول</w:t>
            </w:r>
          </w:p>
        </w:tc>
      </w:tr>
      <w:tr>
        <w:tc>
          <w:tcPr>
            <w:tcW w:type="dxa" w:w="2250"/>
            <w:tcBorders>
              <w:top w:val="single" w:color="CCCCCC" w:sz="4"/>
              <w:left w:val="single" w:color="CCCCCC" w:sz="4"/>
              <w:bottom w:val="single" w:color="CCCCCC" w:sz="4"/>
              <w:right w:val="single" w:color="CCCCCC" w:sz="4"/>
            </w:tcBorders>
          </w:tcPr>
          <w:p>
            <w:r>
              <w:rPr>
                <w:sz w:val="18"/>
                <w:szCs w:val="18"/>
              </w:rPr>
              <w:t xml:space="preserve">Pilot</w:t>
            </w:r>
          </w:p>
        </w:tc>
        <w:tc>
          <w:tcPr>
            <w:tcW w:type="dxa" w:w="2250"/>
            <w:tcBorders>
              <w:top w:val="single" w:color="CCCCCC" w:sz="4"/>
              <w:left w:val="single" w:color="CCCCCC" w:sz="4"/>
              <w:bottom w:val="single" w:color="CCCCCC" w:sz="4"/>
              <w:right w:val="single" w:color="CCCCCC" w:sz="4"/>
            </w:tcBorders>
          </w:tcPr>
          <w:p>
            <w:r>
              <w:rPr>
                <w:sz w:val="18"/>
                <w:szCs w:val="18"/>
              </w:rPr>
              <w:t xml:space="preserve">USD 800</w:t>
            </w:r>
          </w:p>
        </w:tc>
        <w:tc>
          <w:tcPr>
            <w:tcW w:type="dxa" w:w="2250"/>
            <w:tcBorders>
              <w:top w:val="single" w:color="CCCCCC" w:sz="4"/>
              <w:left w:val="single" w:color="CCCCCC" w:sz="4"/>
              <w:bottom w:val="single" w:color="CCCCCC" w:sz="4"/>
              <w:right w:val="single" w:color="CCCCCC" w:sz="4"/>
            </w:tcBorders>
          </w:tcPr>
          <w:p>
            <w:r>
              <w:rPr>
                <w:sz w:val="18"/>
                <w:szCs w:val="18"/>
              </w:rPr>
              <w:t xml:space="preserve">≈ EGP 38,400</w:t>
            </w:r>
          </w:p>
        </w:tc>
        <w:tc>
          <w:tcPr>
            <w:tcW w:type="dxa" w:w="2250"/>
            <w:tcBorders>
              <w:top w:val="single" w:color="CCCCCC" w:sz="4"/>
              <w:left w:val="single" w:color="CCCCCC" w:sz="4"/>
              <w:bottom w:val="single" w:color="CCCCCC" w:sz="4"/>
              <w:right w:val="single" w:color="CCCCCC" w:sz="4"/>
            </w:tcBorders>
          </w:tcPr>
          <w:p>
            <w:r>
              <w:rPr>
                <w:sz w:val="18"/>
                <w:szCs w:val="18"/>
              </w:rPr>
              <w:t xml:space="preserve">وصول للمركز · 2–3 مساحات · موصلات صحافة/تواصل/بث · نبض أسبوعي</w:t>
            </w:r>
          </w:p>
        </w:tc>
      </w:tr>
      <w:tr>
        <w:tc>
          <w:tcPr>
            <w:tcW w:type="dxa" w:w="2250"/>
            <w:tcBorders>
              <w:top w:val="single" w:color="CCCCCC" w:sz="4"/>
              <w:left w:val="single" w:color="CCCCCC" w:sz="4"/>
              <w:bottom w:val="single" w:color="CCCCCC" w:sz="4"/>
              <w:right w:val="single" w:color="CCCCCC" w:sz="4"/>
            </w:tcBorders>
          </w:tcPr>
          <w:p>
            <w:r>
              <w:rPr>
                <w:sz w:val="18"/>
                <w:szCs w:val="18"/>
              </w:rPr>
              <w:t xml:space="preserve">Standard</w:t>
            </w:r>
          </w:p>
        </w:tc>
        <w:tc>
          <w:tcPr>
            <w:tcW w:type="dxa" w:w="2250"/>
            <w:tcBorders>
              <w:top w:val="single" w:color="CCCCCC" w:sz="4"/>
              <w:left w:val="single" w:color="CCCCCC" w:sz="4"/>
              <w:bottom w:val="single" w:color="CCCCCC" w:sz="4"/>
              <w:right w:val="single" w:color="CCCCCC" w:sz="4"/>
            </w:tcBorders>
          </w:tcPr>
          <w:p>
            <w:r>
              <w:rPr>
                <w:sz w:val="18"/>
                <w:szCs w:val="18"/>
              </w:rPr>
              <w:t xml:space="preserve">USD 1,500</w:t>
            </w:r>
          </w:p>
        </w:tc>
        <w:tc>
          <w:tcPr>
            <w:tcW w:type="dxa" w:w="2250"/>
            <w:tcBorders>
              <w:top w:val="single" w:color="CCCCCC" w:sz="4"/>
              <w:left w:val="single" w:color="CCCCCC" w:sz="4"/>
              <w:bottom w:val="single" w:color="CCCCCC" w:sz="4"/>
              <w:right w:val="single" w:color="CCCCCC" w:sz="4"/>
            </w:tcBorders>
          </w:tcPr>
          <w:p>
            <w:r>
              <w:rPr>
                <w:sz w:val="18"/>
                <w:szCs w:val="18"/>
              </w:rPr>
              <w:t xml:space="preserve">≈ EGP 72,000</w:t>
            </w:r>
          </w:p>
        </w:tc>
        <w:tc>
          <w:tcPr>
            <w:tcW w:type="dxa" w:w="2250"/>
            <w:tcBorders>
              <w:top w:val="single" w:color="CCCCCC" w:sz="4"/>
              <w:left w:val="single" w:color="CCCCCC" w:sz="4"/>
              <w:bottom w:val="single" w:color="CCCCCC" w:sz="4"/>
              <w:right w:val="single" w:color="CCCCCC" w:sz="4"/>
            </w:tcBorders>
          </w:tcPr>
          <w:p>
            <w:r>
              <w:rPr>
                <w:sz w:val="18"/>
                <w:szCs w:val="18"/>
              </w:rPr>
              <w:t xml:space="preserve">حتى 10 مساحات · لوحات قطاع · SOV · ملخص برامج · قوالب تنبيه ساعية</w:t>
            </w:r>
          </w:p>
        </w:tc>
      </w:tr>
      <w:tr>
        <w:tc>
          <w:tcPr>
            <w:tcW w:type="dxa" w:w="2250"/>
            <w:tcBorders>
              <w:top w:val="single" w:color="CCCCCC" w:sz="4"/>
              <w:left w:val="single" w:color="CCCCCC" w:sz="4"/>
              <w:bottom w:val="single" w:color="CCCCCC" w:sz="4"/>
              <w:right w:val="single" w:color="CCCCCC" w:sz="4"/>
            </w:tcBorders>
          </w:tcPr>
          <w:p>
            <w:r>
              <w:rPr>
                <w:sz w:val="18"/>
                <w:szCs w:val="18"/>
              </w:rPr>
              <w:t xml:space="preserve">Portfolio</w:t>
            </w:r>
          </w:p>
        </w:tc>
        <w:tc>
          <w:tcPr>
            <w:tcW w:type="dxa" w:w="2250"/>
            <w:tcBorders>
              <w:top w:val="single" w:color="CCCCCC" w:sz="4"/>
              <w:left w:val="single" w:color="CCCCCC" w:sz="4"/>
              <w:bottom w:val="single" w:color="CCCCCC" w:sz="4"/>
              <w:right w:val="single" w:color="CCCCCC" w:sz="4"/>
            </w:tcBorders>
          </w:tcPr>
          <w:p>
            <w:r>
              <w:rPr>
                <w:sz w:val="18"/>
                <w:szCs w:val="18"/>
              </w:rPr>
              <w:t xml:space="preserve">USD 2,500+</w:t>
            </w:r>
          </w:p>
        </w:tc>
        <w:tc>
          <w:tcPr>
            <w:tcW w:type="dxa" w:w="2250"/>
            <w:tcBorders>
              <w:top w:val="single" w:color="CCCCCC" w:sz="4"/>
              <w:left w:val="single" w:color="CCCCCC" w:sz="4"/>
              <w:bottom w:val="single" w:color="CCCCCC" w:sz="4"/>
              <w:right w:val="single" w:color="CCCCCC" w:sz="4"/>
            </w:tcBorders>
          </w:tcPr>
          <w:p>
            <w:r>
              <w:rPr>
                <w:sz w:val="18"/>
                <w:szCs w:val="18"/>
              </w:rPr>
              <w:t xml:space="preserve">≈ EGP 120,000+</w:t>
            </w:r>
          </w:p>
        </w:tc>
        <w:tc>
          <w:tcPr>
            <w:tcW w:type="dxa" w:w="2250"/>
            <w:tcBorders>
              <w:top w:val="single" w:color="CCCCCC" w:sz="4"/>
              <w:left w:val="single" w:color="CCCCCC" w:sz="4"/>
              <w:bottom w:val="single" w:color="CCCCCC" w:sz="4"/>
              <w:right w:val="single" w:color="CCCCCC" w:sz="4"/>
            </w:tcBorders>
          </w:tcPr>
          <w:p>
            <w:r>
              <w:rPr>
                <w:sz w:val="18"/>
                <w:szCs w:val="18"/>
              </w:rPr>
              <w:t xml:space="preserve">حسابات غير محدودة · تحليلات محفظة مجهولة · مراقبة صحة الموصلات · دعم أولوية</w:t>
            </w:r>
          </w:p>
        </w:tc>
      </w:tr>
    </w:tbl>
    <w:p>
      <w:pPr>
        <w:spacing w:after="160"/>
      </w:pPr>
      <w:r>
        <w:rPr>
          <w:sz w:val="22"/>
          <w:szCs w:val="22"/>
        </w:rPr>
        <w:t xml:space="preserve"/>
      </w:r>
    </w:p>
    <w:p>
      <w:pPr>
        <w:pStyle w:val="Heading1"/>
        <w:spacing w:after="160" w:before="280"/>
      </w:pPr>
      <w:r>
        <w:rPr>
          <w:b/>
          <w:bCs/>
        </w:rPr>
        <w:t xml:space="preserve">8. خارطة الطريق (Roadmap)</w:t>
      </w:r>
    </w:p>
    <w:p>
      <w:pPr>
        <w:spacing w:after="80"/>
        <w:ind w:left="360"/>
      </w:pPr>
      <w:r>
        <w:rPr>
          <w:sz w:val="22"/>
          <w:szCs w:val="22"/>
        </w:rPr>
        <w:t xml:space="preserve">• المرحلة 0 — الاستكشاف (أسبوعان): نموذج الاستضافة السحابية، الأمن، مسار وصول الموصلات والتغذيات، اختيار العملاء التجريبيين.</w:t>
      </w:r>
    </w:p>
    <w:p>
      <w:pPr>
        <w:spacing w:after="80"/>
        <w:ind w:left="360"/>
      </w:pPr>
      <w:r>
        <w:rPr>
          <w:sz w:val="22"/>
          <w:szCs w:val="22"/>
        </w:rPr>
        <w:t xml:space="preserve">• المرحلة 1 — بناء النموذج (4 أسابيع): مركز مركزي + فهرس إعلام + مساحات خاصة + موصلات صحافة/تواصل/بث.</w:t>
      </w:r>
    </w:p>
    <w:p>
      <w:pPr>
        <w:spacing w:after="80"/>
        <w:ind w:left="360"/>
      </w:pPr>
      <w:r>
        <w:rPr>
          <w:sz w:val="22"/>
          <w:szCs w:val="22"/>
        </w:rPr>
        <w:t xml:space="preserve">• المرحلة 2 — التقييم (3 أسابيع): التشغيل وفق مقاييس النجاح مع فرق مؤسسية ووزارية مختارة.</w:t>
      </w:r>
    </w:p>
    <w:p>
      <w:pPr>
        <w:spacing w:after="80"/>
        <w:ind w:left="360"/>
      </w:pPr>
      <w:r>
        <w:rPr>
          <w:sz w:val="22"/>
          <w:szCs w:val="22"/>
        </w:rPr>
        <w:t xml:space="preserve">• المرحلة 3 — تعميم المحفظة (4 أسابيع): إلحاق باقي حسابات Brandel وفرق مكاتب الإعلام.</w:t>
      </w:r>
    </w:p>
    <w:p>
      <w:pPr>
        <w:spacing w:after="80"/>
        <w:ind w:left="360"/>
      </w:pPr>
      <w:r>
        <w:rPr>
          <w:sz w:val="22"/>
          <w:szCs w:val="22"/>
        </w:rPr>
        <w:t xml:space="preserve">• المرحلة 4 — التوسع وFuture Work (مستمر): قطاعات وموصلات وفهرس وحدات المستقبل أدناه.</w:t>
      </w:r>
    </w:p>
    <w:p>
      <w:pPr>
        <w:pStyle w:val="Heading1"/>
        <w:spacing w:after="160" w:before="280"/>
      </w:pPr>
      <w:r>
        <w:rPr>
          <w:b/>
          <w:bCs/>
        </w:rPr>
        <w:t xml:space="preserve">8ب. أعمال مستقبلية — وحدات توسّع الذكاء (Future Work · A1–F1)</w:t>
      </w:r>
    </w:p>
    <w:p>
      <w:pPr>
        <w:spacing w:after="160"/>
      </w:pPr>
      <w:r>
        <w:rPr>
          <w:sz w:val="22"/>
          <w:szCs w:val="22"/>
        </w:rPr>
        <w:t xml:space="preserve">كل الوحدات أدناه بعد النموذج التجريبي. تُفعَّل فقط بعد استيعاب مصادر محكومة واتفاقيات معالجة بيانات العملاء وموافقة توجيه Brandel. وحدات الأزمات وSOV والربط بالسياسة تبقى استشارية ولا تحل محل المحللين المرخّصين أو البيانات الرسمية أو المستشار القانوني.</w:t>
      </w:r>
    </w:p>
    <w:p>
      <w:pPr>
        <w:pStyle w:val="Heading2"/>
        <w:spacing w:after="160" w:before="280"/>
      </w:pPr>
      <w:r>
        <w:rPr>
          <w:b/>
          <w:bCs/>
        </w:rPr>
        <w:t xml:space="preserve">الفئة أ — ذكاء القطاع وحصة الصوت (Sector Intelligence &amp; SOV)</w:t>
      </w:r>
    </w:p>
    <w:p>
      <w:pPr>
        <w:spacing w:after="80"/>
        <w:ind w:left="360"/>
      </w:pPr>
      <w:r>
        <w:rPr>
          <w:sz w:val="22"/>
          <w:szCs w:val="22"/>
        </w:rPr>
        <w:t xml:space="preserve">• A1 موجزات نبض القطاع الأسبوعية — ملخصات آلية مع استشهادات صحافة/تواصل/بث.</w:t>
      </w:r>
    </w:p>
    <w:p>
      <w:pPr>
        <w:spacing w:after="80"/>
        <w:ind w:left="360"/>
      </w:pPr>
      <w:r>
        <w:rPr>
          <w:sz w:val="22"/>
          <w:szCs w:val="22"/>
        </w:rPr>
        <w:t xml:space="preserve">• A2 مقارن حصة الصوت (Share-of-Voice Comparator) — حضور العلامة مقابل المنافسين بالقناة والفئة.</w:t>
      </w:r>
    </w:p>
    <w:p>
      <w:pPr>
        <w:pStyle w:val="Heading2"/>
        <w:spacing w:after="160" w:before="280"/>
      </w:pPr>
      <w:r>
        <w:rPr>
          <w:b/>
          <w:bCs/>
        </w:rPr>
        <w:t xml:space="preserve">الفئة ب — الأزمات وصحة العلامة (Crisis &amp; Brand Health)</w:t>
      </w:r>
    </w:p>
    <w:p>
      <w:pPr>
        <w:spacing w:after="80"/>
        <w:ind w:left="360"/>
      </w:pPr>
      <w:r>
        <w:rPr>
          <w:sz w:val="22"/>
          <w:szCs w:val="22"/>
        </w:rPr>
        <w:t xml:space="preserve">• B1 متتبع سرعة الأزمة (Crisis Velocity Tracker) — رصد ارتفاعات المشاعر وتصنيف مصدر الاشتعال ومسارات التصعيد.</w:t>
      </w:r>
    </w:p>
    <w:p>
      <w:pPr>
        <w:spacing w:after="80"/>
        <w:ind w:left="360"/>
      </w:pPr>
      <w:r>
        <w:rPr>
          <w:sz w:val="22"/>
          <w:szCs w:val="22"/>
        </w:rPr>
        <w:t xml:space="preserve">• B2 سرديات صحة العلامة (Brand Health Narratives) — رسم سردي طولي وملخصات اتجاه السمعة.</w:t>
      </w:r>
    </w:p>
    <w:p>
      <w:pPr>
        <w:pStyle w:val="Heading2"/>
        <w:spacing w:after="160" w:before="280"/>
      </w:pPr>
      <w:r>
        <w:rPr>
          <w:b/>
          <w:bCs/>
        </w:rPr>
        <w:t xml:space="preserve">الفئة ج — إحاطات مؤسسية وبثّية</w:t>
      </w:r>
    </w:p>
    <w:p>
      <w:pPr>
        <w:spacing w:after="80"/>
        <w:ind w:left="360"/>
      </w:pPr>
      <w:r>
        <w:rPr>
          <w:sz w:val="22"/>
          <w:szCs w:val="22"/>
        </w:rPr>
        <w:t xml:space="preserve">• C1 حزم إحاطة مكاتب الإعلام الوزارية — حزم يومية/أسبوعية منظمة مع توصيات.</w:t>
      </w:r>
    </w:p>
    <w:p>
      <w:pPr>
        <w:spacing w:after="80"/>
        <w:ind w:left="360"/>
      </w:pPr>
      <w:r>
        <w:rPr>
          <w:sz w:val="22"/>
          <w:szCs w:val="22"/>
        </w:rPr>
        <w:t xml:space="preserve">• C2 ملخص البرامج الحوارية (Talk-Show Digest) — ملخصات مفهرسة بطوابع زمنية واقتباسات وروابط مقاطع.</w:t>
      </w:r>
    </w:p>
    <w:p>
      <w:pPr>
        <w:pStyle w:val="Heading2"/>
        <w:spacing w:after="160" w:before="280"/>
      </w:pPr>
      <w:r>
        <w:rPr>
          <w:b/>
          <w:bCs/>
        </w:rPr>
        <w:t xml:space="preserve">الفئة د — العمليات والتنبيه (Operations &amp; Alerting)</w:t>
      </w:r>
    </w:p>
    <w:p>
      <w:pPr>
        <w:spacing w:after="80"/>
        <w:ind w:left="360"/>
      </w:pPr>
      <w:r>
        <w:rPr>
          <w:sz w:val="22"/>
          <w:szCs w:val="22"/>
        </w:rPr>
        <w:t xml:space="preserve">• D1 قوالب تنبيه A4 مجدولة — ملخصات حوادث ساعية وعند تجاوز العتبات.</w:t>
      </w:r>
    </w:p>
    <w:p>
      <w:pPr>
        <w:spacing w:after="80"/>
        <w:ind w:left="360"/>
      </w:pPr>
      <w:r>
        <w:rPr>
          <w:sz w:val="22"/>
          <w:szCs w:val="22"/>
        </w:rPr>
        <w:t xml:space="preserve">• D2 مراقب صحة الموصلات (Connector Health Monitor) — حالة التغذية والكمون وفجوات المصادر.</w:t>
      </w:r>
    </w:p>
    <w:p>
      <w:pPr>
        <w:pStyle w:val="Heading2"/>
        <w:spacing w:after="160" w:before="280"/>
      </w:pPr>
      <w:r>
        <w:rPr>
          <w:b/>
          <w:bCs/>
        </w:rPr>
        <w:t xml:space="preserve">الفئة هـ — رؤية المحفظة وتحليلات الحملات</w:t>
      </w:r>
    </w:p>
    <w:p>
      <w:pPr>
        <w:spacing w:after="80"/>
        <w:ind w:left="360"/>
      </w:pPr>
      <w:r>
        <w:rPr>
          <w:sz w:val="22"/>
          <w:szCs w:val="22"/>
        </w:rPr>
        <w:t xml:space="preserve">• E1 تحليلات اتجاهات مجهولة (Anonymized Trend Analytics).</w:t>
      </w:r>
    </w:p>
    <w:p>
      <w:pPr>
        <w:spacing w:after="80"/>
        <w:ind w:left="360"/>
      </w:pPr>
      <w:r>
        <w:rPr>
          <w:sz w:val="22"/>
          <w:szCs w:val="22"/>
        </w:rPr>
        <w:t xml:space="preserve">• E2 مستشار مؤشرات الحملات (Campaign KPI Advisor).</w:t>
      </w:r>
    </w:p>
    <w:p>
      <w:pPr>
        <w:pStyle w:val="Heading2"/>
        <w:spacing w:after="160" w:before="280"/>
      </w:pPr>
      <w:r>
        <w:rPr>
          <w:b/>
          <w:bCs/>
        </w:rPr>
        <w:t xml:space="preserve">الفئة و — الربط بالسياسة (Policy Linkage)</w:t>
      </w:r>
    </w:p>
    <w:p>
      <w:pPr>
        <w:spacing w:after="80"/>
        <w:ind w:left="360"/>
      </w:pPr>
      <w:r>
        <w:rPr>
          <w:sz w:val="22"/>
          <w:szCs w:val="22"/>
        </w:rPr>
        <w:t xml:space="preserve">• F1 مستشار ربط الإعلام بالسياسة — يربط موضوعات التغطية بالسياق التنظيمي (استشاري فقط).</w:t>
      </w:r>
    </w:p>
    <w:p>
      <w:pPr>
        <w:pStyle w:val="Heading1"/>
        <w:spacing w:after="160" w:before="280"/>
      </w:pPr>
      <w:r>
        <w:rPr>
          <w:b/>
          <w:bCs/>
        </w:rPr>
        <w:t xml:space="preserve">9. الحوكمة والشراكة (Governance &amp; Partnership)</w:t>
      </w:r>
    </w:p>
    <w:p>
      <w:pPr>
        <w:spacing w:after="80"/>
        <w:ind w:left="360"/>
      </w:pPr>
      <w:r>
        <w:rPr>
          <w:sz w:val="22"/>
          <w:szCs w:val="22"/>
        </w:rPr>
        <w:t xml:space="preserve">• Brandel Co. توجّه سياسة المحتوى ومعايير الموصلات ووصول الجمهور عبر محفظة العملاء.</w:t>
      </w:r>
    </w:p>
    <w:p>
      <w:pPr>
        <w:spacing w:after="80"/>
        <w:ind w:left="360"/>
      </w:pPr>
      <w:r>
        <w:rPr>
          <w:sz w:val="22"/>
          <w:szCs w:val="22"/>
        </w:rPr>
        <w:t xml:space="preserve">• كل عميل أو فريق وزاري يملك موجزاته الخاصة وكلماته وعتبات التنبيه؛ Brandel تملك انتقاء فهرس الإعلام المشترك.</w:t>
      </w:r>
    </w:p>
    <w:p>
      <w:pPr>
        <w:spacing w:after="80"/>
        <w:ind w:left="360"/>
      </w:pPr>
      <w:r>
        <w:rPr>
          <w:sz w:val="22"/>
          <w:szCs w:val="22"/>
        </w:rPr>
        <w:t xml:space="preserve">• مزوّد السحابة المدار وبائعو الموصلات يعملون بموجب اتفاقيات معالجة بيانات (DPA) تراجعها تقنية/أمن Brandel.</w:t>
      </w:r>
    </w:p>
    <w:p>
      <w:pPr>
        <w:spacing w:after="80"/>
        <w:ind w:left="360"/>
      </w:pPr>
      <w:r>
        <w:rPr>
          <w:sz w:val="22"/>
          <w:szCs w:val="22"/>
        </w:rPr>
        <w:t xml:space="preserve">• مجموعة توجيه مشتركة تشرف على النموذج التجريبي والتوسع.</w:t>
      </w:r>
    </w:p>
    <w:p>
      <w:pPr>
        <w:pStyle w:val="Heading1"/>
        <w:spacing w:after="160" w:before="280"/>
      </w:pPr>
      <w:r>
        <w:rPr>
          <w:b/>
          <w:bCs/>
        </w:rPr>
        <w:t xml:space="preserve">10. المخاطر (Risks)</w:t>
      </w:r>
    </w:p>
    <w:p>
      <w:pPr>
        <w:spacing w:after="80"/>
        <w:ind w:left="360"/>
      </w:pPr>
      <w:r>
        <w:rPr>
          <w:sz w:val="22"/>
          <w:szCs w:val="22"/>
        </w:rPr>
        <w:t xml:space="preserve">• حداثة المصادر إذا تأخرت تغذيات الصحافة أو التواصل أو البث أو فشلت الموصلات.</w:t>
      </w:r>
    </w:p>
    <w:p>
      <w:pPr>
        <w:spacing w:after="80"/>
        <w:ind w:left="360"/>
      </w:pPr>
      <w:r>
        <w:rPr>
          <w:sz w:val="22"/>
          <w:szCs w:val="22"/>
        </w:rPr>
        <w:t xml:space="preserve">• الهلوسة (Hallucination) — تُخفَّف بالاستشهاد الإلزامي وسلوك الامتناع عند الشك.</w:t>
      </w:r>
    </w:p>
    <w:p>
      <w:pPr>
        <w:spacing w:after="80"/>
        <w:ind w:left="360"/>
      </w:pPr>
      <w:r>
        <w:rPr>
          <w:sz w:val="22"/>
          <w:szCs w:val="22"/>
        </w:rPr>
        <w:t xml:space="preserve">• تسرب بين المستأجرين (Cross-Tenant Leakage) — يُخفَّف بعزل المساحات وRBAC والتدقيق.</w:t>
      </w:r>
    </w:p>
    <w:p>
      <w:pPr>
        <w:spacing w:after="80"/>
        <w:ind w:left="360"/>
      </w:pPr>
      <w:r>
        <w:rPr>
          <w:sz w:val="22"/>
          <w:szCs w:val="22"/>
        </w:rPr>
        <w:t xml:space="preserve">• تأخر اتفاقيات واجهات البرمجة (API) / مشاركة البيانات مع الناشرين أو المنصات.</w:t>
      </w:r>
    </w:p>
    <w:p>
      <w:pPr>
        <w:spacing w:after="80"/>
        <w:ind w:left="360"/>
      </w:pPr>
      <w:r>
        <w:rPr>
          <w:sz w:val="22"/>
          <w:szCs w:val="22"/>
        </w:rPr>
        <w:t xml:space="preserve">• حساسية التواصل أثناء الأزمات — مراجعة المحلل البشري تبقى إلزامية للبيانات الخارجية.</w:t>
      </w:r>
    </w:p>
    <w:p>
      <w:pPr>
        <w:pStyle w:val="Heading1"/>
        <w:spacing w:after="160" w:before="280"/>
      </w:pPr>
      <w:r>
        <w:rPr>
          <w:b/>
          <w:bCs/>
        </w:rPr>
        <w:t xml:space="preserve">11. العائد / النجاح (Return / Success)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500"/>
            <w:tcBorders>
              <w:top w:val="single" w:color="CCCCCC" w:sz="4"/>
              <w:left w:val="single" w:color="CCCCCC" w:sz="4"/>
              <w:bottom w:val="single" w:color="CCCCCC" w:sz="4"/>
              <w:right w:val="single" w:color="CCCCCC" w:sz="4"/>
            </w:tcBorders>
          </w:tcPr>
          <w:p>
            <w:r>
              <w:rPr>
                <w:b/>
                <w:bCs/>
                <w:sz w:val="18"/>
                <w:szCs w:val="18"/>
              </w:rPr>
              <w:t xml:space="preserve">مقياس النموذج التجريبي (Pilot Metric)</w:t>
            </w:r>
          </w:p>
        </w:tc>
        <w:tc>
          <w:tcPr>
            <w:tcW w:type="dxa" w:w="4500"/>
            <w:tcBorders>
              <w:top w:val="single" w:color="CCCCCC" w:sz="4"/>
              <w:left w:val="single" w:color="CCCCCC" w:sz="4"/>
              <w:bottom w:val="single" w:color="CCCCCC" w:sz="4"/>
              <w:right w:val="single" w:color="CCCCCC" w:sz="4"/>
            </w:tcBorders>
          </w:tcPr>
          <w:p>
            <w:r>
              <w:rPr>
                <w:b/>
                <w:bCs/>
                <w:sz w:val="18"/>
                <w:szCs w:val="18"/>
              </w:rPr>
              <w:t xml:space="preserve">الهدف (Target)</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تسريع الوقت إلى الرؤية مقابل البحث اليدوي</w:t>
            </w:r>
          </w:p>
        </w:tc>
        <w:tc>
          <w:tcPr>
            <w:tcW w:type="dxa" w:w="4500"/>
            <w:tcBorders>
              <w:top w:val="single" w:color="CCCCCC" w:sz="4"/>
              <w:left w:val="single" w:color="CCCCCC" w:sz="4"/>
              <w:bottom w:val="single" w:color="CCCCCC" w:sz="4"/>
              <w:right w:val="single" w:color="CCCCCC" w:sz="4"/>
            </w:tcBorders>
          </w:tcPr>
          <w:p>
            <w:r>
              <w:rPr>
                <w:sz w:val="18"/>
                <w:szCs w:val="18"/>
              </w:rPr>
              <w:t xml:space="preserve">≥60%</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إجابات باستشهاد صالح (Valid Citation)</w:t>
            </w:r>
          </w:p>
        </w:tc>
        <w:tc>
          <w:tcPr>
            <w:tcW w:type="dxa" w:w="4500"/>
            <w:tcBorders>
              <w:top w:val="single" w:color="CCCCCC" w:sz="4"/>
              <w:left w:val="single" w:color="CCCCCC" w:sz="4"/>
              <w:bottom w:val="single" w:color="CCCCCC" w:sz="4"/>
              <w:right w:val="single" w:color="CCCCCC" w:sz="4"/>
            </w:tcBorders>
          </w:tcPr>
          <w:p>
            <w:r>
              <w:rPr>
                <w:sz w:val="18"/>
                <w:szCs w:val="18"/>
              </w:rPr>
              <w:t xml:space="preserve">≥95%</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مستخدمون نشطون شهريًا في الدفعة التجريبية (MAU)</w:t>
            </w:r>
          </w:p>
        </w:tc>
        <w:tc>
          <w:tcPr>
            <w:tcW w:type="dxa" w:w="4500"/>
            <w:tcBorders>
              <w:top w:val="single" w:color="CCCCCC" w:sz="4"/>
              <w:left w:val="single" w:color="CCCCCC" w:sz="4"/>
              <w:bottom w:val="single" w:color="CCCCCC" w:sz="4"/>
              <w:right w:val="single" w:color="CCCCCC" w:sz="4"/>
            </w:tcBorders>
          </w:tcPr>
          <w:p>
            <w:r>
              <w:rPr>
                <w:sz w:val="18"/>
                <w:szCs w:val="18"/>
              </w:rPr>
              <w:t xml:space="preserve">≥80%</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حوادث تسرب بين المستأجرين</w:t>
            </w:r>
          </w:p>
        </w:tc>
        <w:tc>
          <w:tcPr>
            <w:tcW w:type="dxa" w:w="4500"/>
            <w:tcBorders>
              <w:top w:val="single" w:color="CCCCCC" w:sz="4"/>
              <w:left w:val="single" w:color="CCCCCC" w:sz="4"/>
              <w:bottom w:val="single" w:color="CCCCCC" w:sz="4"/>
              <w:right w:val="single" w:color="CCCCCC" w:sz="4"/>
            </w:tcBorders>
          </w:tcPr>
          <w:p>
            <w:r>
              <w:rPr>
                <w:sz w:val="18"/>
                <w:szCs w:val="18"/>
              </w:rPr>
              <w:t xml:space="preserve">0</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تقليل وقت إعداد الإحاطات للمحللين</w:t>
            </w:r>
          </w:p>
        </w:tc>
        <w:tc>
          <w:tcPr>
            <w:tcW w:type="dxa" w:w="4500"/>
            <w:tcBorders>
              <w:top w:val="single" w:color="CCCCCC" w:sz="4"/>
              <w:left w:val="single" w:color="CCCCCC" w:sz="4"/>
              <w:bottom w:val="single" w:color="CCCCCC" w:sz="4"/>
              <w:right w:val="single" w:color="CCCCCC" w:sz="4"/>
            </w:tcBorders>
          </w:tcPr>
          <w:p>
            <w:r>
              <w:rPr>
                <w:sz w:val="18"/>
                <w:szCs w:val="18"/>
              </w:rPr>
              <w:t xml:space="preserve">انخفاض قابل للقياس مقابل خط الأساس</w:t>
            </w:r>
          </w:p>
        </w:tc>
      </w:tr>
    </w:tbl>
    <w:p>
      <w:pPr>
        <w:spacing w:after="160"/>
      </w:pPr>
      <w:r>
        <w:rPr>
          <w:sz w:val="22"/>
          <w:szCs w:val="22"/>
        </w:rPr>
        <w:t xml:space="preserve"/>
      </w:r>
    </w:p>
    <w:p>
      <w:pPr>
        <w:pStyle w:val="Heading1"/>
        <w:spacing w:after="160" w:before="280"/>
      </w:pPr>
      <w:r>
        <w:rPr>
          <w:b/>
          <w:bCs/>
        </w:rPr>
        <w:t xml:space="preserve">12. الخطوات التالية (Next Steps)</w:t>
      </w:r>
    </w:p>
    <w:p>
      <w:pPr>
        <w:spacing w:after="80"/>
        <w:ind w:left="360"/>
      </w:pPr>
      <w:r>
        <w:rPr>
          <w:sz w:val="22"/>
          <w:szCs w:val="22"/>
        </w:rPr>
        <w:t xml:space="preserve">• الموافقة على ورشة اكتشاف المرحلة 0 بين تقنية/أمن Brandel وبائعي الموصلات و1–2 رعاة عملاء تجريبيين.</w:t>
      </w:r>
    </w:p>
    <w:p>
      <w:pPr>
        <w:spacing w:after="80"/>
        <w:ind w:left="360"/>
      </w:pPr>
      <w:r>
        <w:rPr>
          <w:sz w:val="22"/>
          <w:szCs w:val="22"/>
        </w:rPr>
        <w:t xml:space="preserve">• تأكيد مسارات الوصول إلى تغذيات الصحافة والتواصل والبث وموجزات العملاء.</w:t>
      </w:r>
    </w:p>
    <w:p>
      <w:pPr>
        <w:spacing w:after="80"/>
        <w:ind w:left="360"/>
      </w:pPr>
      <w:r>
        <w:rPr>
          <w:sz w:val="22"/>
          <w:szCs w:val="22"/>
        </w:rPr>
        <w:t xml:space="preserve">• تحويل هذا الإطار إلى عرض أسعار ملزم وبيان عمل للمركز المركزي MediaBrain.</w:t>
      </w:r>
    </w:p>
    <w:p>
      <w:pPr>
        <w:spacing w:after="80"/>
        <w:ind w:left="360"/>
      </w:pPr>
      <w:r>
        <w:rPr>
          <w:sz w:val="22"/>
          <w:szCs w:val="22"/>
        </w:rPr>
        <w:t xml:space="preserve">• يمكن مناقشة مقترح تقني ومالي مفصل (تسعير اشتراك نهائي وSLA ونطاق التكامل) لاحقًا كنتيجة للاكتشاف.</w:t>
      </w:r>
    </w:p>
    <w:p>
      <w:pPr>
        <w:spacing w:after="160"/>
      </w:pPr>
      <w:r>
        <w:rPr>
          <w:sz w:val="22"/>
          <w:szCs w:val="22"/>
        </w:rPr>
        <w:t xml:space="preserve">عن Brandel Co.</w:t>
      </w:r>
    </w:p>
    <w:p>
      <w:pPr>
        <w:spacing w:after="160"/>
      </w:pPr>
      <w:r>
        <w:rPr>
          <w:sz w:val="22"/>
          <w:szCs w:val="22"/>
        </w:rPr>
        <w:t xml:space="preserve">البريد: commercial@brandel.com</w:t>
      </w:r>
    </w:p>
    <w:p>
      <w:pPr>
        <w:pStyle w:val="Heading1"/>
        <w:spacing w:after="160" w:before="280"/>
      </w:pPr>
      <w:r>
        <w:rPr>
          <w:b/>
          <w:bCs/>
        </w:rPr>
        <w:t xml:space="preserve">الملحق أ — السرد المنتج (Annex A — Product Narrative)</w:t>
      </w:r>
    </w:p>
    <w:p>
      <w:pPr>
        <w:spacing w:after="160"/>
      </w:pPr>
      <w:r>
        <w:rPr>
          <w:sz w:val="22"/>
          <w:szCs w:val="22"/>
        </w:rPr>
        <w:t xml:space="preserve">يروي هذا الملحق قصة منتج MediaBrain لقيادة Brandel ورعاة العملاء: لماذا تهم طبقة الذكاء الآن، وكيف تتجاوز مستوى المراقبة التقليدية (مثال السوق: Egypt Media Monitor)، ولماذا الخيار أ (المركز المركزي) على منصة سحابية مدارة هو المعمارية الموصى بها.</w:t>
      </w:r>
    </w:p>
    <w:p>
      <w:pPr>
        <w:pStyle w:val="Heading2"/>
        <w:spacing w:after="160" w:before="280"/>
      </w:pPr>
      <w:r>
        <w:rPr>
          <w:b/>
          <w:bCs/>
        </w:rPr>
        <w:t xml:space="preserve">أ.1 لحظة المحفظة</w:t>
      </w:r>
    </w:p>
    <w:p>
      <w:pPr>
        <w:spacing w:after="160"/>
      </w:pPr>
      <w:r>
        <w:rPr>
          <w:sz w:val="22"/>
          <w:szCs w:val="22"/>
        </w:rPr>
        <w:t xml:space="preserve">تقدّم Brandel خدمات في فئة المراقبة الإعلامية التقليدية التي يمثّلها علنًا لاعبون مثل Egypt Media Monitor: مراقبة صحافة يومية، واستماع اجتماعي، وقصّ بثّي، وفهرسة برامج. تعتمد فرق التواصل والأزمات ومكاتب الإعلام على موجزات دقيقة في الوقت المناسب — لكن إعداد نبض القطاع وتقييمات الأزمات ومقارنات SOV وحزم الإحاطة ما زال يستهلك ساعات محللين كبيرة. بيانات المراقبة موجودة. ما تحتاجه المحفظة طبقة ذكاء فورية موثّقة توحّد الإشارات بسرعة دورة الإعلام.</w:t>
      </w:r>
    </w:p>
    <w:p>
      <w:pPr>
        <w:pStyle w:val="Heading2"/>
        <w:spacing w:after="160" w:before="280"/>
      </w:pPr>
      <w:r>
        <w:rPr>
          <w:b/>
          <w:bCs/>
        </w:rPr>
        <w:t xml:space="preserve">أ.2 المنتج في جملة</w:t>
      </w:r>
    </w:p>
    <w:p>
      <w:pPr>
        <w:spacing w:after="160"/>
      </w:pPr>
      <w:r>
        <w:rPr>
          <w:sz w:val="22"/>
          <w:szCs w:val="22"/>
        </w:rPr>
        <w:t xml:space="preserve">MediaBrain مركز ذكاء إعلامي ثنائي اللغة (AR/EN) بمساعدَين — Media Advisor للتحليلات والأسئلة، وStatement Writer للبيانات والردود — مستند إلى منصة واحدة محكومة من Brandel تطابق فقط مصادر الصحافة والتواصل والبث وموجزات العملاء المعتمدة، وتعزل مساحة كل عميل، وتجيب باستشهاد إلزامي — على منصة سحابية مدارة مع طبقة موصلات وفهرس إعلام وتدقيق.</w:t>
      </w:r>
    </w:p>
    <w:p>
      <w:pPr>
        <w:pStyle w:val="Heading2"/>
        <w:spacing w:after="160" w:before="280"/>
      </w:pPr>
      <w:r>
        <w:rPr>
          <w:b/>
          <w:bCs/>
        </w:rPr>
        <w:t xml:space="preserve">أ.3 من يخدم</w:t>
      </w:r>
    </w:p>
    <w:p>
      <w:pPr>
        <w:spacing w:after="80"/>
        <w:ind w:left="360"/>
      </w:pPr>
      <w:r>
        <w:rPr>
          <w:sz w:val="22"/>
          <w:szCs w:val="22"/>
        </w:rPr>
        <w:t xml:space="preserve">• عملاء Brandel المؤسسيون — نبض قطاع وSOV وأسئلة أثر الحملات مستندة إلى مصادر مراقبة.</w:t>
      </w:r>
    </w:p>
    <w:p>
      <w:pPr>
        <w:spacing w:after="80"/>
        <w:ind w:left="360"/>
      </w:pPr>
      <w:r>
        <w:rPr>
          <w:sz w:val="22"/>
          <w:szCs w:val="22"/>
        </w:rPr>
        <w:t xml:space="preserve">• فرق التواصل والأزمات — ارتفاعات المشاعر وسرعة الأزمة وقوالب تنبيه ساعية بمصادر اشتعال موثّقة.</w:t>
      </w:r>
    </w:p>
    <w:p>
      <w:pPr>
        <w:spacing w:after="80"/>
        <w:ind w:left="360"/>
      </w:pPr>
      <w:r>
        <w:rPr>
          <w:sz w:val="22"/>
          <w:szCs w:val="22"/>
        </w:rPr>
        <w:t xml:space="preserve">• مكاتب الإعلام الوزارية — حزم إحاطة يومية/أسبوعية وملخصات برامج وسياسات.</w:t>
      </w:r>
    </w:p>
    <w:p>
      <w:pPr>
        <w:spacing w:after="80"/>
        <w:ind w:left="360"/>
      </w:pPr>
      <w:r>
        <w:rPr>
          <w:sz w:val="22"/>
          <w:szCs w:val="22"/>
        </w:rPr>
        <w:t xml:space="preserve">• قيادة Brandel — اتجاهات محفظة مجهولة وصحة الموصلات ورؤية فجوات المعرفة.</w:t>
      </w:r>
    </w:p>
    <w:p>
      <w:pPr>
        <w:pStyle w:val="Heading2"/>
        <w:spacing w:after="160" w:before="280"/>
      </w:pPr>
      <w:r>
        <w:rPr>
          <w:b/>
          <w:bCs/>
        </w:rPr>
        <w:t xml:space="preserve">أ.4 كيف تعمل التجربة</w:t>
      </w:r>
    </w:p>
    <w:p>
      <w:pPr>
        <w:spacing w:after="80"/>
        <w:ind w:left="360"/>
      </w:pPr>
      <w:r>
        <w:rPr>
          <w:sz w:val="22"/>
          <w:szCs w:val="22"/>
        </w:rPr>
        <w:t xml:space="preserve">• اسأل بالعربية أو الإنجليزية → طابق مصادر الإعلام المنتقاة → اقطع مع مساحة العميل عند الحاجة → أعد إجابة موثّقة أو امتنع عند نقص المصادر.</w:t>
      </w:r>
    </w:p>
    <w:p>
      <w:pPr>
        <w:spacing w:after="80"/>
        <w:ind w:left="360"/>
      </w:pPr>
      <w:r>
        <w:rPr>
          <w:sz w:val="22"/>
          <w:szCs w:val="22"/>
        </w:rPr>
        <w:t xml:space="preserve">• انتقل إلى Statement Writer → صغ بيانات صحفية أو ردودًا إعلامية أو ملاحظات داخلية من المصادر نفسها مع استشهادات.</w:t>
      </w:r>
    </w:p>
    <w:p>
      <w:pPr>
        <w:spacing w:after="80"/>
        <w:ind w:left="360"/>
      </w:pPr>
      <w:r>
        <w:rPr>
          <w:sz w:val="22"/>
          <w:szCs w:val="22"/>
        </w:rPr>
        <w:t xml:space="preserve">• الإصدار v1 يزرع نبض القطاع وتنبيهات المشاعر وملخصات SOV ومسودات الإحاطة الوزارية وملخصات البرامج ومسودات البيانات والموجزات الخاصة وRBAC والتدقيق وتحليلات الراعي المجهولة — دون ادّعاء وحدات المستقبل كنطاق حي.</w:t>
      </w:r>
    </w:p>
    <w:p>
      <w:pPr>
        <w:pStyle w:val="Heading2"/>
        <w:spacing w:after="160" w:before="280"/>
      </w:pPr>
      <w:r>
        <w:rPr>
          <w:b/>
          <w:bCs/>
        </w:rPr>
        <w:t xml:space="preserve">أ.5 سير العمل التشغيلي (Operational Workflow)</w:t>
      </w:r>
    </w:p>
    <w:p>
      <w:pPr>
        <w:spacing w:after="80"/>
        <w:ind w:left="360"/>
      </w:pPr>
      <w:r>
        <w:rPr>
          <w:sz w:val="22"/>
          <w:szCs w:val="22"/>
        </w:rPr>
        <w:t xml:space="preserve">• المرحلة 1 — الجمهور: عملاء Brandel وفرق الأزمات ومكاتب الإعلام يصادقون على الدخول.</w:t>
      </w:r>
    </w:p>
    <w:p>
      <w:pPr>
        <w:spacing w:after="80"/>
        <w:ind w:left="360"/>
      </w:pPr>
      <w:r>
        <w:rPr>
          <w:sz w:val="22"/>
          <w:szCs w:val="22"/>
        </w:rPr>
        <w:t xml:space="preserve">• المرحلة 2 — المركز: RBAC والعزل؛ Media Advisor وStatement Writer؛ Shared Signal Index؛ Private Workspaces؛ Anonymized Analytics.</w:t>
      </w:r>
    </w:p>
    <w:p>
      <w:pPr>
        <w:spacing w:after="80"/>
        <w:ind w:left="360"/>
      </w:pPr>
      <w:r>
        <w:rPr>
          <w:sz w:val="22"/>
          <w:szCs w:val="22"/>
        </w:rPr>
        <w:t xml:space="preserve">• المرحلة 3 — مصادر محكومة: تغذيات صحافة واستماع اجتماعي ونصوص بث ومواقع رسمية عبر طبقة الموصلات فقط.</w:t>
      </w:r>
    </w:p>
    <w:p>
      <w:pPr>
        <w:spacing w:after="80"/>
        <w:ind w:left="360"/>
      </w:pPr>
      <w:r>
        <w:rPr>
          <w:sz w:val="22"/>
          <w:szCs w:val="22"/>
        </w:rPr>
        <w:t xml:space="preserve">• المرحلة 4 — عمليات المنصة: تطبيع التغذيات، جدولة تقارير A4، سجل تدقيق لكل استعلام ومطابقة.</w:t>
      </w:r>
    </w:p>
    <w:p>
      <w:pPr>
        <w:spacing w:after="80"/>
        <w:ind w:left="360"/>
      </w:pPr>
      <w:r>
        <w:rPr>
          <w:sz w:val="22"/>
          <w:szCs w:val="22"/>
        </w:rPr>
        <w:t xml:space="preserve">• المرحلة 5 — المخرج: إجابات موثّقة وحزم إحاطة وتنبيهات — دون استناد إلى الويب المفتوح.</w:t>
      </w:r>
    </w:p>
    <w:p>
      <w:pPr>
        <w:pStyle w:val="Heading2"/>
        <w:spacing w:after="160" w:before="280"/>
      </w:pPr>
      <w:r>
        <w:rPr>
          <w:b/>
          <w:bCs/>
        </w:rPr>
        <w:t xml:space="preserve">أ.6 لماذا الآن</w:t>
      </w:r>
    </w:p>
    <w:p>
      <w:pPr>
        <w:spacing w:after="80"/>
        <w:ind w:left="360"/>
      </w:pPr>
      <w:r>
        <w:rPr>
          <w:sz w:val="22"/>
          <w:szCs w:val="22"/>
        </w:rPr>
        <w:t xml:space="preserve">• سوق المراقبة التقليدية (مثال: Egypt Media Monitor) يُظهر الطلب على القصّ والاستماع والملخصات — بينما الذكاء الفوري الموثّق لم يتوسع بعد.</w:t>
      </w:r>
    </w:p>
    <w:p>
      <w:pPr>
        <w:spacing w:after="80"/>
        <w:ind w:left="360"/>
      </w:pPr>
      <w:r>
        <w:rPr>
          <w:sz w:val="22"/>
          <w:szCs w:val="22"/>
        </w:rPr>
        <w:t xml:space="preserve">• قيادة العملاء تحصل على طبقة ذكاء محكومة دون تفتت إلى صوامع لكل حساب.</w:t>
      </w:r>
    </w:p>
    <w:p>
      <w:pPr>
        <w:spacing w:after="80"/>
        <w:ind w:left="360"/>
      </w:pPr>
      <w:r>
        <w:rPr>
          <w:sz w:val="22"/>
          <w:szCs w:val="22"/>
        </w:rPr>
        <w:t xml:space="preserve">• الاستضافة السحابية المدارة تقدّم أمنًا مؤسسيًا وقابلية توسع دون إنفاق رأسمالي على GPU سيادي.</w:t>
      </w:r>
    </w:p>
    <w:p>
      <w:pPr>
        <w:spacing w:after="80"/>
        <w:ind w:left="360"/>
      </w:pPr>
      <w:r>
        <w:rPr>
          <w:sz w:val="22"/>
          <w:szCs w:val="22"/>
        </w:rPr>
        <w:t xml:space="preserve">• خارطة مراحل 0–4 تبقي وحدات المستقبل (A1–F1) صادقة — اختيارية بعد النموذج، لا تُدّعى كمنتج v1 حي.</w:t>
      </w:r>
    </w:p>
    <w:p>
      <w:pPr>
        <w:pStyle w:val="Heading2"/>
        <w:spacing w:after="160" w:before="280"/>
      </w:pPr>
      <w:r>
        <w:rPr>
          <w:b/>
          <w:bCs/>
        </w:rPr>
        <w:t xml:space="preserve">أ.7 الطلب الختامي</w:t>
      </w:r>
    </w:p>
    <w:p>
      <w:pPr>
        <w:spacing w:after="160"/>
      </w:pPr>
      <w:r>
        <w:rPr>
          <w:sz w:val="22"/>
          <w:szCs w:val="22"/>
        </w:rPr>
        <w:t xml:space="preserve">الموافقة على ورشة اكتشاف المرحلة 0 مع تقنية/أمن Brandel وبائعي الموصلات و1–2 رعاة عملاء تجريبيين لقفل مسارات الوصول ونموذج العزل وبيان عمل ملزم لمركز MediaBrain المركزي.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2026-08-05T08:05:51.439Z</dcterms:created>
  <dcterms:modified xsi:type="dcterms:W3CDTF">2026-08-05T08:05:51.439Z</dcterms:modified>
</cp:coreProperties>
</file>

<file path=docProps/custom.xml><?xml version="1.0" encoding="utf-8"?>
<Properties xmlns="http://schemas.openxmlformats.org/officeDocument/2006/custom-properties" xmlns:vt="http://schemas.openxmlformats.org/officeDocument/2006/docPropsVTypes"/>
</file>