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80"/>
      </w:pPr>
      <w:r>
        <w:rPr>
          <w:b/>
          <w:bCs/>
        </w:rPr>
        <w:t xml:space="preserve">Business Case — MediaBrain Media Intelligence Hub</w:t>
      </w:r>
    </w:p>
    <w:p>
      <w:pPr>
        <w:spacing w:after="160"/>
      </w:pPr>
      <w:r>
        <w:rPr>
          <w:sz w:val="22"/>
          <w:szCs w:val="22"/>
        </w:rPr>
        <w:t xml:space="preserve">A Centralized, Secure AI Media-Intelligence Layer for Brandel Co. and Its Client Portfolio</w:t>
      </w:r>
    </w:p>
    <w:p>
      <w:pPr>
        <w:spacing w:after="160"/>
      </w:pPr>
      <w:r>
        <w:rPr>
          <w:sz w:val="22"/>
          <w:szCs w:val="22"/>
        </w:rPr>
        <w:t xml:space="preserve">Prepared for: Brandel Co. and its client portfolio (enterprise comms and crisis teams, ministry media offices) · Market reference: traditional monitoring services as publicly offered by Egypt Media Monitor · Prepared by: Brandel Co. · commercial@brandel.com · Version 1.0 (Draft for Discussion) — August 2026</w:t>
      </w:r>
    </w:p>
    <w:p>
      <w:pPr>
        <w:pStyle w:val="Heading1"/>
        <w:spacing w:after="160" w:before="280"/>
      </w:pPr>
      <w:r>
        <w:rPr>
          <w:b/>
          <w:bCs/>
        </w:rPr>
        <w:t xml:space="preserve">1. Document Control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Field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Document Title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Business Case — MediaBrain Media Intelligence Hub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Prepared For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Brandel Co. and its client portfolio (enterprise comms, crisis teams, ministry media offices)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Prepared By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Brandel Co. · commercial@brandel.com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Companion Document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PRD — MediaBrain Media Intelligence Hub (v1.0)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Status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Draft — For Discussion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Version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August 2026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Annex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 — Product Narrative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2. Executive Summary</w:t>
      </w:r>
    </w:p>
    <w:p>
      <w:pPr>
        <w:spacing w:after="160"/>
      </w:pPr>
      <w:r>
        <w:rPr>
          <w:sz w:val="22"/>
          <w:szCs w:val="22"/>
        </w:rPr>
        <w:t xml:space="preserve">Brandel Co. operates media-intelligence services in the traditional monitoring category: daily national and sector press monitoring, social listening across major platforms, broadcast clipping, and talk-show programme indexing. Clients — corporate comms teams, enterprise crisis units and ministry media offices — receive dashboards, clips and analyst-prepared briefs. What does not yet scale at portfolio level is on-demand, cited intelligence that unifies press, social and broadcast signals into actionable answers within minutes.</w:t>
      </w:r>
    </w:p>
    <w:p>
      <w:pPr>
        <w:spacing w:after="160"/>
      </w:pPr>
      <w:r>
        <w:rPr>
          <w:sz w:val="22"/>
          <w:szCs w:val="22"/>
        </w:rPr>
        <w:t xml:space="preserve">This Business Case proposes MediaBrain: a centralized cited AI media-intelligence hub on a managed cloud platform with a governed connector layer, unified media index and full audit logging. The hub hosts two complementary assistants: a Media Advisor for analytics and cited Q&amp;A, and a Statement Writer for drafting press statements, media responses and internal communications grounded in the same governed sources. Every answer is grounded in Brandel-curated sources — press feeds, social listening corpora, broadcast transcripts, client briefs and the MediaBrain index — with isolated private workspaces per client or ministry team. Scheduled deliverables include print-ready A4 daily briefings per client sector (e.g. oil &amp; gas for Petrobel Co.) generated automatically from the governed signal index.</w:t>
      </w:r>
    </w:p>
    <w:p>
      <w:pPr>
        <w:spacing w:after="160"/>
      </w:pPr>
      <w:r>
        <w:rPr>
          <w:sz w:val="22"/>
          <w:szCs w:val="22"/>
        </w:rPr>
        <w:t xml:space="preserve">Full functional detail is in the companion PRD. Phase 4 Future Work lists eleven AI expansion modules in six categories (A1–F1): sector briefs, share-of-voice, crisis velocity, brand health narratives, ministry briefing packs, talk-show digest, scheduled alert templates, connector health, anonymized trend analytics, campaign KPI advisor and media–policy linkage.</w:t>
      </w:r>
    </w:p>
    <w:p>
      <w:pPr>
        <w:pStyle w:val="Heading1"/>
        <w:spacing w:after="160" w:before="280"/>
      </w:pPr>
      <w:r>
        <w:rPr>
          <w:b/>
          <w:bCs/>
        </w:rPr>
        <w:t xml:space="preserve">3. Strategic Alignment</w:t>
      </w:r>
    </w:p>
    <w:p>
      <w:pPr>
        <w:spacing w:after="160"/>
      </w:pPr>
      <w:r>
        <w:rPr>
          <w:sz w:val="22"/>
          <w:szCs w:val="22"/>
        </w:rPr>
        <w:t xml:space="preserve">MediaBrain sits at the intersection of four Brandel and client priorities:</w:t>
      </w:r>
    </w:p>
    <w:p>
      <w:pPr>
        <w:spacing w:after="80"/>
        <w:ind w:left="360"/>
      </w:pPr>
      <w:r>
        <w:rPr>
          <w:sz w:val="22"/>
          <w:szCs w:val="22"/>
        </w:rPr>
        <w:t xml:space="preserve">• Portfolio efficiency — one intelligence layer serving Brandel corporate clients without duplicating analyst effort per account.</w:t>
      </w:r>
    </w:p>
    <w:p>
      <w:pPr>
        <w:spacing w:after="80"/>
        <w:ind w:left="360"/>
      </w:pPr>
      <w:r>
        <w:rPr>
          <w:sz w:val="22"/>
          <w:szCs w:val="22"/>
        </w:rPr>
        <w:t xml:space="preserve">• Enterprise comms and crisis readiness — faster, consistent interpretation of press, social and broadcast signals during routine monitoring and incident response.</w:t>
      </w:r>
    </w:p>
    <w:p>
      <w:pPr>
        <w:spacing w:after="80"/>
        <w:ind w:left="360"/>
      </w:pPr>
      <w:r>
        <w:rPr>
          <w:sz w:val="22"/>
          <w:szCs w:val="22"/>
        </w:rPr>
        <w:t xml:space="preserve">• Ministry and institutional media offices — structured daily and weekly briefing packs with cited sources, beyond traditional monitoring-only deliverables.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Scalable commercial model — reusable hub architecture that supports new sectors, clients and future modules without rebuilding per engagement.</w:t>
      </w:r>
    </w:p>
    <w:p>
      <w:pPr>
        <w:pStyle w:val="Heading1"/>
        <w:spacing w:after="160" w:before="280"/>
      </w:pPr>
      <w:r>
        <w:rPr>
          <w:b/>
          <w:bCs/>
        </w:rPr>
        <w:t xml:space="preserve">4. The Opportunity</w:t>
      </w:r>
    </w:p>
    <w:p>
      <w:pPr>
        <w:spacing w:after="160"/>
      </w:pPr>
      <w:r>
        <w:rPr>
          <w:sz w:val="22"/>
          <w:szCs w:val="22"/>
        </w:rPr>
        <w:t xml:space="preserve">Today, Brandel analysts and client teams must manually triangulate press clippings, social sentiment spikes, broadcast talk-show segments and historical trend data while preparing sector pulses, crisis assessments, share-of-voice reports and ministry briefings. Static dashboards and email digests do not deliver cited, personalized guidance at the speed incidents and media cycles demand.</w:t>
      </w:r>
    </w:p>
    <w:p>
      <w:pPr>
        <w:spacing w:after="160"/>
      </w:pPr>
      <w:r>
        <w:rPr>
          <w:sz w:val="22"/>
          <w:szCs w:val="22"/>
        </w:rPr>
        <w:t xml:space="preserve">An AI reference layer, grounded strictly in Brandel-governed sources and the unified media index, gives every authorised user an on-demand, cited answer — and gives Brandel sponsor visibility into anonymized portfolio trends, connector health and recurring knowledge gaps across sectors and clients.</w:t>
      </w:r>
    </w:p>
    <w:p>
      <w:pPr>
        <w:pStyle w:val="Heading1"/>
        <w:spacing w:after="160" w:before="280"/>
      </w:pPr>
      <w:r>
        <w:rPr>
          <w:b/>
          <w:bCs/>
        </w:rPr>
        <w:t xml:space="preserve">4b. Market reference — modest traditional monitoring (Egypt Media Monitor)</w:t>
      </w:r>
    </w:p>
    <w:p>
      <w:pPr>
        <w:spacing w:after="160"/>
      </w:pPr>
      <w:r>
        <w:rPr>
          <w:sz w:val="22"/>
          <w:szCs w:val="22"/>
        </w:rPr>
        <w:t xml:space="preserve">A useful public benchmark for today’s modest service stack is Egypt Media Monitor (https://egyptmediamonitor.com/): media monitoring, social listening, press clipping, editorial opinions and analysis, TV talk-show summaries and executive media summaries — delivered as analyst-prepared reports. These capabilities are valuable and widely demanded in Egypt; they do not yet provide an on-demand cited AI advisor, statement drafting grounded in governed sources, or scheduled A4 intelligence packs at hub scale. MediaBrain is designed to sit above such operational monitoring — unifying signals into decisions.</w:t>
      </w:r>
    </w:p>
    <w:p>
      <w:pPr>
        <w:spacing w:after="80"/>
        <w:ind w:left="360"/>
      </w:pPr>
      <w:r>
        <w:rPr>
          <w:sz w:val="22"/>
          <w:szCs w:val="22"/>
        </w:rPr>
        <w:t xml:space="preserve">• Traditional stack (e.g. EMM): daily reports, clipping, social listening, talk-show and media summaries.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MediaBrain adds: Media Advisor + Statement Writer + unified signal index + private workspaces + audit + scheduled A4 briefings.</w:t>
      </w:r>
    </w:p>
    <w:p>
      <w:pPr>
        <w:spacing w:after="80"/>
        <w:ind w:left="360"/>
      </w:pPr>
      <w:r>
        <w:rPr>
          <w:sz w:val="22"/>
          <w:szCs w:val="22"/>
        </w:rPr>
        <w:t xml:space="preserve">• Reference site: https://egyptmediamonitor.com/</w:t>
      </w:r>
    </w:p>
    <w:p>
      <w:pPr>
        <w:pStyle w:val="Heading1"/>
        <w:spacing w:after="160" w:before="280"/>
      </w:pPr>
      <w:r>
        <w:rPr>
          <w:b/>
          <w:bCs/>
        </w:rPr>
        <w:t xml:space="preserve">5. Value Proposition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Benefit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Speed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Media and crisis questions answered in seconds from press, social, broadcast and indexed corpora.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Consistency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One Brandel-approved interpretation of monitoring data and briefing standards across clients.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Personalization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Answers reflect each client’s keywords, thresholds and private briefs without exposing them to peers.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Reduced analyst workload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Brandel desks and client comms teams freed from repetitive pulse, SOV and digest preparation.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Sponsor visibility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Aggregated, anonymized reporting on hot topics, sector trends and connector status for Brandel leadership.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Scalable model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Reusable hub for new clients, ministry accounts, sectors and future module activation.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6. Architecture Options and Recommendation</w:t>
      </w:r>
    </w:p>
    <w:p>
      <w:pPr>
        <w:pStyle w:val="Heading2"/>
        <w:spacing w:after="160" w:before="280"/>
      </w:pPr>
      <w:r>
        <w:rPr>
          <w:b/>
          <w:bCs/>
        </w:rPr>
        <w:t xml:space="preserve">Option A — Centralized Hub (Recommended for Phase 1)</w:t>
      </w:r>
    </w:p>
    <w:p>
      <w:pPr>
        <w:spacing w:after="160"/>
      </w:pPr>
      <w:r>
        <w:rPr>
          <w:sz w:val="22"/>
          <w:szCs w:val="22"/>
        </w:rPr>
        <w:t xml:space="preserve">One Brandel-governed AI intelligence platform serving corporate clients, enterprise crisis teams and ministry media offices from a shared curated media knowledge base, with an isolated private workspace per client or institutional team.</w:t>
      </w:r>
    </w:p>
    <w:p>
      <w:pPr>
        <w:spacing w:after="80"/>
        <w:ind w:left="360"/>
      </w:pPr>
      <w:r>
        <w:rPr>
          <w:sz w:val="22"/>
          <w:szCs w:val="22"/>
        </w:rPr>
        <w:t xml:space="preserve">• Lowest cost and fastest time-to-value; single media index and connector layer as feeds evolve.</w:t>
      </w:r>
    </w:p>
    <w:p>
      <w:pPr>
        <w:spacing w:after="80"/>
        <w:ind w:left="360"/>
      </w:pPr>
      <w:r>
        <w:rPr>
          <w:sz w:val="22"/>
          <w:szCs w:val="22"/>
        </w:rPr>
        <w:t xml:space="preserve">• Single point of security governance, RBAC and audit for Brandel operations.</w:t>
      </w:r>
    </w:p>
    <w:p>
      <w:pPr>
        <w:spacing w:after="80"/>
        <w:ind w:left="360"/>
      </w:pPr>
      <w:r>
        <w:rPr>
          <w:sz w:val="22"/>
          <w:szCs w:val="22"/>
        </w:rPr>
        <w:t xml:space="preserve">• Consistent cited answers by design across the client portfolio.</w:t>
      </w:r>
    </w:p>
    <w:p>
      <w:pPr>
        <w:pStyle w:val="Heading2"/>
        <w:spacing w:after="160" w:before="280"/>
      </w:pPr>
      <w:r>
        <w:rPr>
          <w:b/>
          <w:bCs/>
        </w:rPr>
        <w:t xml:space="preserve">Option B — Per-Client Dedicated Instances</w:t>
      </w:r>
    </w:p>
    <w:p>
      <w:pPr>
        <w:spacing w:after="160"/>
      </w:pPr>
      <w:r>
        <w:rPr>
          <w:sz w:val="22"/>
          <w:szCs w:val="22"/>
        </w:rPr>
        <w:t xml:space="preserve">Separate fully isolated platform instances per major client or ministry account — highest isolation, materially higher cost; defer unless Phase 1 security review or contractual requirements demand it.</w:t>
      </w:r>
    </w:p>
    <w:p>
      <w:pPr>
        <w:pStyle w:val="Heading2"/>
        <w:spacing w:after="160" w:before="280"/>
      </w:pPr>
      <w:r>
        <w:rPr>
          <w:b/>
          <w:bCs/>
        </w:rPr>
        <w:t xml:space="preserve">Managed cloud platform (no sovereign GPU requirement)</w:t>
      </w:r>
    </w:p>
    <w:p>
      <w:pPr>
        <w:spacing w:after="160"/>
      </w:pPr>
      <w:r>
        <w:rPr>
          <w:sz w:val="22"/>
          <w:szCs w:val="22"/>
        </w:rPr>
        <w:t xml:space="preserve">Production inference, embeddings and vector storage on a managed cloud platform with enterprise-grade encryption, regional hosting options and SLA-backed uptime. A governed connector layer ingests press, social, broadcast and client-brief feeds into the unified media index. Full audit logging of queries, source matches and answer generation. No open-internet grounding.</w:t>
      </w:r>
    </w:p>
    <w:p>
      <w:pPr>
        <w:pStyle w:val="Heading1"/>
        <w:spacing w:after="160" w:before="280"/>
      </w:pPr>
      <w:r>
        <w:rPr>
          <w:b/>
          <w:bCs/>
        </w:rPr>
        <w:t xml:space="preserve">7. Indicative Cost &amp; Subscription Framework</w:t>
      </w:r>
    </w:p>
    <w:p>
      <w:pPr>
        <w:spacing w:after="160"/>
      </w:pPr>
      <w:r>
        <w:rPr>
          <w:sz w:val="22"/>
          <w:szCs w:val="22"/>
        </w:rPr>
        <w:t xml:space="preserve">Indicative phase bands and subscription estimates only — not a firm quotation. A full technical and financial proposal can be discussed later during the Phase 0 discovery workshop, which converts this framework into a formal statement of work covering cloud platform capacity, connector onboarding, knowledge operations, bilingual UX and client workspace setup.</w:t>
      </w:r>
    </w:p>
    <w:p>
      <w:pPr>
        <w:pStyle w:val="Heading2"/>
        <w:spacing w:after="160" w:before="280"/>
      </w:pPr>
      <w:r>
        <w:rPr>
          <w:b/>
          <w:bCs/>
        </w:rPr>
        <w:t xml:space="preserve">7.1 Delivery phase bands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Phase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Focus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Indicative band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0 Discovery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Security, connector access, pilot clients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Workshop + fixed discovery fee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1 Pilot Build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Central hub + media index + 2–3 client workspaces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Build + monthly cloud infra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2 Pilot Eval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Metrics, hardening, feed refresh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Ops + support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3 Portfolio roll-out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Remaining corporate and ministry accounts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Roll-out + capacity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4 Scale + Future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Sectors + Future Modules catalogue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Ongoing + module SOWs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2"/>
        <w:spacing w:after="160" w:before="280"/>
      </w:pPr>
      <w:r>
        <w:rPr>
          <w:b/>
          <w:bCs/>
        </w:rPr>
        <w:t xml:space="preserve">7.2 Indicative subscription estimate (USD and EGP equivalent)</w:t>
      </w:r>
    </w:p>
    <w:p>
      <w:pPr>
        <w:spacing w:after="160"/>
      </w:pPr>
      <w:r>
        <w:rPr>
          <w:sz w:val="22"/>
          <w:szCs w:val="22"/>
        </w:rPr>
        <w:t xml:space="preserve">Estimates below assume ~48 EGP per 1 USD for planning purposes. Final pricing, payment terms and local tax treatment are confirmed in the technical and financial proposal discussed later.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Tier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Monthly USD (est.)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Monthly EGP equivalent (est.)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Included scope</w:t>
            </w:r>
          </w:p>
        </w:tc>
      </w:tr>
      <w:tr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Pilot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USD 800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≈ EGP 38,400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Central hub access · 2–3 client workspaces · press/social/broadcast connectors · weekly pulse briefs</w:t>
            </w:r>
          </w:p>
        </w:tc>
      </w:tr>
      <w:tr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Standard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USD 1,500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≈ EGP 72,000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Up to 10 workspaces · sector dashboards · SOV summaries · talk-show digest · hourly alert templates</w:t>
            </w:r>
          </w:p>
        </w:tc>
      </w:tr>
      <w:tr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Portfolio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USD 2,500+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≈ EGP 120,000+</w:t>
            </w:r>
          </w:p>
        </w:tc>
        <w:tc>
          <w:tcPr>
            <w:tcW w:type="dxa" w:w="225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Unlimited client and ministry accounts · anonymized portfolio analytics · connector health monitor · priority support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8. Roadmap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0 — Discovery (2 weeks): cloud hosting model, security, connector and feed access path, pilot client selection.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1 — Pilot Build (4 weeks): centralized hub + media index + private workspaces + press/social/broadcast connectors.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2 — Pilot Evaluation (3 weeks): run against success metrics with selected corporate and ministry teams.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3 — Portfolio roll-out (4 weeks): onboard remaining Brandel client accounts and media-office teams.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4 — Scale &amp; Future Work (ongoing): sectors, connectors and the Future Modules catalogue below.</w:t>
      </w:r>
    </w:p>
    <w:p>
      <w:pPr>
        <w:pStyle w:val="Heading1"/>
        <w:spacing w:after="160" w:before="280"/>
      </w:pPr>
      <w:r>
        <w:rPr>
          <w:b/>
          <w:bCs/>
        </w:rPr>
        <w:t xml:space="preserve">8b. Future Work — AI expansion modules (by category)</w:t>
      </w:r>
    </w:p>
    <w:p>
      <w:pPr>
        <w:spacing w:after="160"/>
      </w:pPr>
      <w:r>
        <w:rPr>
          <w:sz w:val="22"/>
          <w:szCs w:val="22"/>
        </w:rPr>
        <w:t xml:space="preserve">All modules below are post-pilot. They activate only after governed source ingestion, client data-processing agreements and Brandel steering approval. Crisis, SOV and policy-linkage modules remain advisory and do not replace licensed analysts, official statements or legal counsel.</w:t>
      </w:r>
    </w:p>
    <w:p>
      <w:pPr>
        <w:pStyle w:val="Heading2"/>
        <w:spacing w:after="160" w:before="280"/>
      </w:pPr>
      <w:r>
        <w:rPr>
          <w:b/>
          <w:bCs/>
        </w:rPr>
        <w:t xml:space="preserve">Category A — Sector Intelligence &amp; Share-of-Voice</w:t>
      </w:r>
    </w:p>
    <w:p>
      <w:pPr>
        <w:spacing w:after="80"/>
        <w:ind w:left="360"/>
      </w:pPr>
      <w:r>
        <w:rPr>
          <w:sz w:val="22"/>
          <w:szCs w:val="22"/>
        </w:rPr>
        <w:t xml:space="preserve">• A1 Sector weekly pulse briefs — automated sector summaries with press, social and broadcast citations.</w:t>
      </w:r>
    </w:p>
    <w:p>
      <w:pPr>
        <w:spacing w:after="80"/>
        <w:ind w:left="360"/>
      </w:pPr>
      <w:r>
        <w:rPr>
          <w:sz w:val="22"/>
          <w:szCs w:val="22"/>
        </w:rPr>
        <w:t xml:space="preserve">• A2 Share-of-voice (SOV) comparator — weighted brand vs competitor presence by channel and category.</w:t>
      </w:r>
    </w:p>
    <w:p>
      <w:pPr>
        <w:pStyle w:val="Heading2"/>
        <w:spacing w:after="160" w:before="280"/>
      </w:pPr>
      <w:r>
        <w:rPr>
          <w:b/>
          <w:bCs/>
        </w:rPr>
        <w:t xml:space="preserve">Category B — Crisis &amp; Brand Health</w:t>
      </w:r>
    </w:p>
    <w:p>
      <w:pPr>
        <w:spacing w:after="80"/>
        <w:ind w:left="360"/>
      </w:pPr>
      <w:r>
        <w:rPr>
          <w:sz w:val="22"/>
          <w:szCs w:val="22"/>
        </w:rPr>
        <w:t xml:space="preserve">• B1 Crisis velocity tracker — sentiment spike detection, ignition-source classification and escalation paths.</w:t>
      </w:r>
    </w:p>
    <w:p>
      <w:pPr>
        <w:spacing w:after="80"/>
        <w:ind w:left="360"/>
      </w:pPr>
      <w:r>
        <w:rPr>
          <w:sz w:val="22"/>
          <w:szCs w:val="22"/>
        </w:rPr>
        <w:t xml:space="preserve">• B2 Brand health narratives — longitudinal narrative mapping and reputation trend summaries.</w:t>
      </w:r>
    </w:p>
    <w:p>
      <w:pPr>
        <w:pStyle w:val="Heading2"/>
        <w:spacing w:after="160" w:before="280"/>
      </w:pPr>
      <w:r>
        <w:rPr>
          <w:b/>
          <w:bCs/>
        </w:rPr>
        <w:t xml:space="preserve">Category C — Institutional &amp; Broadcast Briefings</w:t>
      </w:r>
    </w:p>
    <w:p>
      <w:pPr>
        <w:spacing w:after="80"/>
        <w:ind w:left="360"/>
      </w:pPr>
      <w:r>
        <w:rPr>
          <w:sz w:val="22"/>
          <w:szCs w:val="22"/>
        </w:rPr>
        <w:t xml:space="preserve">• C1 Ministry media-office briefing packs — structured daily/weekly packs with recommendations.</w:t>
      </w:r>
    </w:p>
    <w:p>
      <w:pPr>
        <w:spacing w:after="80"/>
        <w:ind w:left="360"/>
      </w:pPr>
      <w:r>
        <w:rPr>
          <w:sz w:val="22"/>
          <w:szCs w:val="22"/>
        </w:rPr>
        <w:t xml:space="preserve">• C2 Talk-show digest — indexed programme summaries with timestamps, quotes and clip links.</w:t>
      </w:r>
    </w:p>
    <w:p>
      <w:pPr>
        <w:pStyle w:val="Heading2"/>
        <w:spacing w:after="160" w:before="280"/>
      </w:pPr>
      <w:r>
        <w:rPr>
          <w:b/>
          <w:bCs/>
        </w:rPr>
        <w:t xml:space="preserve">Category D — Operations &amp; Alerting</w:t>
      </w:r>
    </w:p>
    <w:p>
      <w:pPr>
        <w:spacing w:after="80"/>
        <w:ind w:left="360"/>
      </w:pPr>
      <w:r>
        <w:rPr>
          <w:sz w:val="22"/>
          <w:szCs w:val="22"/>
        </w:rPr>
        <w:t xml:space="preserve">• D1 Scheduled A4 alert templates — hourly and threshold-triggered incident summaries.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D2 Connector health monitor — feed status, latency and gap alerts for press/social/broadcast sources.</w:t>
      </w:r>
    </w:p>
    <w:p>
      <w:pPr>
        <w:pStyle w:val="Heading2"/>
        <w:spacing w:after="160" w:before="280"/>
      </w:pPr>
      <w:r>
        <w:rPr>
          <w:b/>
          <w:bCs/>
        </w:rPr>
        <w:t xml:space="preserve">Category E — Portfolio Insight &amp; Campaign Analytics</w:t>
      </w:r>
    </w:p>
    <w:p>
      <w:pPr>
        <w:spacing w:after="80"/>
        <w:ind w:left="360"/>
      </w:pPr>
      <w:r>
        <w:rPr>
          <w:sz w:val="22"/>
          <w:szCs w:val="22"/>
        </w:rPr>
        <w:t xml:space="preserve">• E1 Anonymized trend analytics — aggregate portfolio trends without exposing client-specific data.</w:t>
      </w:r>
    </w:p>
    <w:p>
      <w:pPr>
        <w:spacing w:after="80"/>
        <w:ind w:left="360"/>
      </w:pPr>
      <w:r>
        <w:rPr>
          <w:sz w:val="22"/>
          <w:szCs w:val="22"/>
        </w:rPr>
        <w:t xml:space="preserve">• E2 Campaign KPI advisor — media-impact metrics cross-checked against client campaign briefs.</w:t>
      </w:r>
    </w:p>
    <w:p>
      <w:pPr>
        <w:pStyle w:val="Heading2"/>
        <w:spacing w:after="160" w:before="280"/>
      </w:pPr>
      <w:r>
        <w:rPr>
          <w:b/>
          <w:bCs/>
        </w:rPr>
        <w:t xml:space="preserve">Category F — Policy Linkage</w:t>
      </w:r>
    </w:p>
    <w:p>
      <w:pPr>
        <w:spacing w:after="80"/>
        <w:ind w:left="360"/>
      </w:pPr>
      <w:r>
        <w:rPr>
          <w:sz w:val="22"/>
          <w:szCs w:val="22"/>
        </w:rPr>
        <w:t xml:space="preserve">• F1 Media–policy linkage advisor — maps coverage themes to policy and regulatory context (advisory only).</w:t>
      </w:r>
    </w:p>
    <w:p>
      <w:pPr>
        <w:pStyle w:val="Heading1"/>
        <w:spacing w:after="160" w:before="280"/>
      </w:pPr>
      <w:r>
        <w:rPr>
          <w:b/>
          <w:bCs/>
        </w:rPr>
        <w:t xml:space="preserve">9. Governance &amp; Partnership</w:t>
      </w:r>
    </w:p>
    <w:p>
      <w:pPr>
        <w:spacing w:after="80"/>
        <w:ind w:left="360"/>
      </w:pPr>
      <w:r>
        <w:rPr>
          <w:sz w:val="22"/>
          <w:szCs w:val="22"/>
        </w:rPr>
        <w:t xml:space="preserve">• Brandel Co. steers content policy, connector standards and audience access across the client portfolio.</w:t>
      </w:r>
    </w:p>
    <w:p>
      <w:pPr>
        <w:spacing w:after="80"/>
        <w:ind w:left="360"/>
      </w:pPr>
      <w:r>
        <w:rPr>
          <w:sz w:val="22"/>
          <w:szCs w:val="22"/>
        </w:rPr>
        <w:t xml:space="preserve">• Each client or ministry team owns its private briefs, keywords and alert thresholds; Brandel owns shared media index curation.</w:t>
      </w:r>
    </w:p>
    <w:p>
      <w:pPr>
        <w:spacing w:after="80"/>
        <w:ind w:left="360"/>
      </w:pPr>
      <w:r>
        <w:rPr>
          <w:sz w:val="22"/>
          <w:szCs w:val="22"/>
        </w:rPr>
        <w:t xml:space="preserve">• Managed cloud provider and connector vendors operate under formal DPAs reviewed by Brandel IT/security.</w:t>
      </w:r>
    </w:p>
    <w:p>
      <w:pPr>
        <w:spacing w:after="80"/>
        <w:ind w:left="360"/>
      </w:pPr>
      <w:r>
        <w:rPr>
          <w:sz w:val="22"/>
          <w:szCs w:val="22"/>
        </w:rPr>
        <w:t xml:space="preserve">• Joint steering group (Brandel leadership, selected client champions, technical operations) oversees pilot and scaling.</w:t>
      </w:r>
    </w:p>
    <w:p>
      <w:pPr>
        <w:pStyle w:val="Heading1"/>
        <w:spacing w:after="160" w:before="280"/>
      </w:pPr>
      <w:r>
        <w:rPr>
          <w:b/>
          <w:bCs/>
        </w:rPr>
        <w:t xml:space="preserve">10. Risks</w:t>
      </w:r>
    </w:p>
    <w:p>
      <w:pPr>
        <w:spacing w:after="80"/>
        <w:ind w:left="360"/>
      </w:pPr>
      <w:r>
        <w:rPr>
          <w:sz w:val="22"/>
          <w:szCs w:val="22"/>
        </w:rPr>
        <w:t xml:space="preserve">• Source freshness if press, social or broadcast feeds lag or connectors fail.</w:t>
      </w:r>
    </w:p>
    <w:p>
      <w:pPr>
        <w:spacing w:after="80"/>
        <w:ind w:left="360"/>
      </w:pPr>
      <w:r>
        <w:rPr>
          <w:sz w:val="22"/>
          <w:szCs w:val="22"/>
        </w:rPr>
        <w:t xml:space="preserve">• Hallucination — mitigated by mandatory citations and decline-when-unsure behaviour.</w:t>
      </w:r>
    </w:p>
    <w:p>
      <w:pPr>
        <w:spacing w:after="80"/>
        <w:ind w:left="360"/>
      </w:pPr>
      <w:r>
        <w:rPr>
          <w:sz w:val="22"/>
          <w:szCs w:val="22"/>
        </w:rPr>
        <w:t xml:space="preserve">• Cross-tenant leakage — mitigated by workspace isolation, RBAC and audit.</w:t>
      </w:r>
    </w:p>
    <w:p>
      <w:pPr>
        <w:spacing w:after="80"/>
        <w:ind w:left="360"/>
      </w:pPr>
      <w:r>
        <w:rPr>
          <w:sz w:val="22"/>
          <w:szCs w:val="22"/>
        </w:rPr>
        <w:t xml:space="preserve">• Connector API / data-sharing agreements delayed with publishers or platforms.</w:t>
      </w:r>
    </w:p>
    <w:p>
      <w:pPr>
        <w:spacing w:after="80"/>
        <w:ind w:left="360"/>
      </w:pPr>
      <w:r>
        <w:rPr>
          <w:sz w:val="22"/>
          <w:szCs w:val="22"/>
        </w:rPr>
        <w:t xml:space="preserve">• Communications sensitivity during crisis incidents — human analyst review remains mandatory for external statements.</w:t>
      </w:r>
    </w:p>
    <w:p>
      <w:pPr>
        <w:pStyle w:val="Heading1"/>
        <w:spacing w:after="160" w:before="280"/>
      </w:pPr>
      <w:r>
        <w:rPr>
          <w:b/>
          <w:bCs/>
        </w:rPr>
        <w:t xml:space="preserve">11. Return / Success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Pilot metric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Target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Faster time-to-insight vs manual analyst search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≥60%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Answers with valid citation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≥95%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Monthly active authorised users (pilot cohort)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≥80%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Cross-tenant data incidents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Analyst briefing-prep time reduction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Measurable drop vs baseline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12. Next Steps</w:t>
      </w:r>
    </w:p>
    <w:p>
      <w:pPr>
        <w:spacing w:after="80"/>
        <w:ind w:left="360"/>
      </w:pPr>
      <w:r>
        <w:rPr>
          <w:sz w:val="22"/>
          <w:szCs w:val="22"/>
        </w:rPr>
        <w:t xml:space="preserve">• Approve a Phase 0 discovery workshop between Brandel Co. IT/security, connector vendors and 1–2 pilot client champions.</w:t>
      </w:r>
    </w:p>
    <w:p>
      <w:pPr>
        <w:spacing w:after="80"/>
        <w:ind w:left="360"/>
      </w:pPr>
      <w:r>
        <w:rPr>
          <w:sz w:val="22"/>
          <w:szCs w:val="22"/>
        </w:rPr>
        <w:t xml:space="preserve">• Confirm data-access paths to press, social, broadcast feeds and client brief corpora.</w:t>
      </w:r>
    </w:p>
    <w:p>
      <w:pPr>
        <w:spacing w:after="80"/>
        <w:ind w:left="360"/>
      </w:pPr>
      <w:r>
        <w:rPr>
          <w:sz w:val="22"/>
          <w:szCs w:val="22"/>
        </w:rPr>
        <w:t xml:space="preserve">• Convert this framework into a firm quotation and statement of work for the centralized MediaBrain hub.</w:t>
      </w:r>
    </w:p>
    <w:p>
      <w:pPr>
        <w:spacing w:after="80"/>
        <w:ind w:left="360"/>
      </w:pPr>
      <w:r>
        <w:rPr>
          <w:sz w:val="22"/>
          <w:szCs w:val="22"/>
        </w:rPr>
        <w:t xml:space="preserve">• A detailed technical and financial proposal (including final subscription pricing, SLA terms and integration scope) can be discussed later as part of the discovery outcome.</w:t>
      </w:r>
    </w:p>
    <w:p>
      <w:pPr>
        <w:spacing w:after="160"/>
      </w:pPr>
      <w:r>
        <w:rPr>
          <w:sz w:val="22"/>
          <w:szCs w:val="22"/>
        </w:rPr>
        <w:t xml:space="preserve">About Brandel Co.</w:t>
      </w:r>
    </w:p>
    <w:p>
      <w:pPr>
        <w:spacing w:after="160"/>
      </w:pPr>
      <w:r>
        <w:rPr>
          <w:sz w:val="22"/>
          <w:szCs w:val="22"/>
        </w:rPr>
        <w:t xml:space="preserve">mail: commercial@brandel.com</w:t>
      </w:r>
    </w:p>
    <w:p>
      <w:pPr>
        <w:pStyle w:val="Heading1"/>
        <w:spacing w:after="160" w:before="280"/>
      </w:pPr>
      <w:r>
        <w:rPr>
          <w:b/>
          <w:bCs/>
        </w:rPr>
        <w:t xml:space="preserve">Annex A — Product Narrative</w:t>
      </w:r>
    </w:p>
    <w:p>
      <w:pPr>
        <w:spacing w:after="160"/>
      </w:pPr>
      <w:r>
        <w:rPr>
          <w:sz w:val="22"/>
          <w:szCs w:val="22"/>
        </w:rPr>
        <w:t xml:space="preserve">This annex tells the MediaBrain product story for Brandel leadership and client sponsors: why the intelligence layer matters now, how it moves beyond traditional monitoring (market example: Egypt Media Monitor), and why Option A (Centralized Hub) on a managed cloud platform is recommended.</w:t>
      </w:r>
    </w:p>
    <w:p>
      <w:pPr>
        <w:pStyle w:val="Heading2"/>
        <w:spacing w:after="160" w:before="280"/>
      </w:pPr>
      <w:r>
        <w:rPr>
          <w:b/>
          <w:bCs/>
        </w:rPr>
        <w:t xml:space="preserve">A.1 The portfolio moment</w:t>
      </w:r>
    </w:p>
    <w:p>
      <w:pPr>
        <w:spacing w:after="160"/>
      </w:pPr>
      <w:r>
        <w:rPr>
          <w:sz w:val="22"/>
          <w:szCs w:val="22"/>
        </w:rPr>
        <w:t xml:space="preserve">Brandel Co. delivers media-intelligence services in the traditional monitoring category that public players such as Egypt Media Monitor exemplify: daily press monitoring across national and sector outlets, social listening on major platforms, broadcast clipping and talk-show programme indexing. Corporate comms teams, enterprise crisis units and ministry media offices depend on timely, accurate briefs — yet preparing sector pulses, crisis assessments, SOV comparisons and institutional briefing packs still consumes significant analyst hours. The monitoring data exists. What the portfolio needs is an on-demand, cited intelligence layer that unifies press, social and broadcast signals at the speed of modern media cycles.</w:t>
      </w:r>
    </w:p>
    <w:p>
      <w:pPr>
        <w:pStyle w:val="Heading2"/>
        <w:spacing w:after="160" w:before="280"/>
      </w:pPr>
      <w:r>
        <w:rPr>
          <w:b/>
          <w:bCs/>
        </w:rPr>
        <w:t xml:space="preserve">A.2 The product in one sentence</w:t>
      </w:r>
    </w:p>
    <w:p>
      <w:pPr>
        <w:spacing w:after="160"/>
      </w:pPr>
      <w:r>
        <w:rPr>
          <w:sz w:val="22"/>
          <w:szCs w:val="22"/>
        </w:rPr>
        <w:t xml:space="preserve">MediaBrain is a bilingual (AR/EN) cited AI media hub with two assistants — a Media Advisor for analytics and Q&amp;A, and a Statement Writer for press statements and responses — grounded in one Brandel-governed platform that matches only approved press, social, broadcast and client-brief sources, isolates each client’s private workspace, and answers with mandatory citations — hosted on a managed cloud platform with connector layer, media index and audit logging.</w:t>
      </w:r>
    </w:p>
    <w:p>
      <w:pPr>
        <w:pStyle w:val="Heading2"/>
        <w:spacing w:after="160" w:before="280"/>
      </w:pPr>
      <w:r>
        <w:rPr>
          <w:b/>
          <w:bCs/>
        </w:rPr>
        <w:t xml:space="preserve">A.3 Who it serves</w:t>
      </w:r>
    </w:p>
    <w:p>
      <w:pPr>
        <w:spacing w:after="80"/>
        <w:ind w:left="360"/>
      </w:pPr>
      <w:r>
        <w:rPr>
          <w:sz w:val="22"/>
          <w:szCs w:val="22"/>
        </w:rPr>
        <w:t xml:space="preserve">• Brandel corporate clients — sector pulses, SOV and campaign-impact Q&amp;A grounded in monitored sources.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Enterprise comms and crisis teams — sentiment spikes, crisis velocity and hourly alert templates with cited ignition sources.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Ministry media offices — daily and weekly briefing packs, talk-show digests and policy-context summaries.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Brandel leadership — anonymized portfolio trends, connector health and knowledge-gap visibility.</w:t>
      </w:r>
    </w:p>
    <w:p>
      <w:pPr>
        <w:pStyle w:val="Heading2"/>
        <w:spacing w:after="160" w:before="280"/>
      </w:pPr>
      <w:r>
        <w:rPr>
          <w:b/>
          <w:bCs/>
        </w:rPr>
        <w:t xml:space="preserve">A.4 How the experience works</w:t>
      </w:r>
    </w:p>
    <w:p>
      <w:pPr>
        <w:spacing w:after="80"/>
        <w:ind w:left="360"/>
      </w:pPr>
      <w:r>
        <w:rPr>
          <w:sz w:val="22"/>
          <w:szCs w:val="22"/>
        </w:rPr>
        <w:t xml:space="preserve">• Ask in Arabic or English → match curated media sources → cross-check client workspace when relevant → return a cited answer or decline when sources are insufficient.</w:t>
      </w:r>
    </w:p>
    <w:p>
      <w:pPr>
        <w:spacing w:after="80"/>
        <w:ind w:left="360"/>
      </w:pPr>
      <w:r>
        <w:rPr>
          <w:sz w:val="22"/>
          <w:szCs w:val="22"/>
        </w:rPr>
        <w:t xml:space="preserve">• Switch to Statement Writer → draft press statements, media responses or internal notes grounded in the same governed sources with citations.</w:t>
      </w:r>
    </w:p>
    <w:p>
      <w:pPr>
        <w:spacing w:after="80"/>
        <w:ind w:left="360"/>
      </w:pPr>
      <w:r>
        <w:rPr>
          <w:sz w:val="22"/>
          <w:szCs w:val="22"/>
        </w:rPr>
        <w:t xml:space="preserve">• v1 seeds sector pulse briefs, crisis sentiment alerts, SOV summaries, ministry briefing drafts, talk-show digests, statement drafts, private client briefs, RBAC, audit and anonymized sponsor analytics — without claiming Future Modules as live scope.</w:t>
      </w:r>
    </w:p>
    <w:p>
      <w:pPr>
        <w:spacing w:after="80"/>
        <w:ind w:left="360"/>
      </w:pPr>
      <w:r>
        <w:rPr>
          <w:sz w:val="22"/>
          <w:szCs w:val="22"/>
        </w:rPr>
        <w:t xml:space="preserve">• Pitch and pilot stay scripted/governed; production AI capacity and connector scale are delivered under formal SoW after discovery.</w:t>
      </w:r>
    </w:p>
    <w:p>
      <w:pPr>
        <w:pStyle w:val="Heading2"/>
        <w:spacing w:after="160" w:before="280"/>
      </w:pPr>
      <w:r>
        <w:rPr>
          <w:b/>
          <w:bCs/>
        </w:rPr>
        <w:t xml:space="preserve">A.5 Operational workflow</w:t>
      </w:r>
    </w:p>
    <w:p>
      <w:pPr>
        <w:spacing w:after="160"/>
      </w:pPr>
      <w:r>
        <w:rPr>
          <w:sz w:val="22"/>
          <w:szCs w:val="22"/>
        </w:rPr>
        <w:t xml:space="preserve">The platform workflow runs in five stages:</w:t>
      </w:r>
    </w:p>
    <w:p>
      <w:pPr>
        <w:spacing w:after="80"/>
        <w:ind w:left="360"/>
      </w:pPr>
      <w:r>
        <w:rPr>
          <w:sz w:val="22"/>
          <w:szCs w:val="22"/>
        </w:rPr>
        <w:t xml:space="preserve">• Stage 1 — Audiences: Brandel corporate clients, enterprise comms/crisis teams and ministry media offices authenticate into the hub.</w:t>
      </w:r>
    </w:p>
    <w:p>
      <w:pPr>
        <w:spacing w:after="80"/>
        <w:ind w:left="360"/>
      </w:pPr>
      <w:r>
        <w:rPr>
          <w:sz w:val="22"/>
          <w:szCs w:val="22"/>
        </w:rPr>
        <w:t xml:space="preserve">• Stage 2 — Central hub: RBAC &amp; tenancy enforce isolation; the Media Advisor answers analytics questions while the Statement Writer drafts cited statements; the Shared Signal Index holds unified press/social/broadcast records; Private Workspaces store client briefs and thresholds; Anonymized Analytics feed Brandel leadership.</w:t>
      </w:r>
    </w:p>
    <w:p>
      <w:pPr>
        <w:spacing w:after="80"/>
        <w:ind w:left="360"/>
      </w:pPr>
      <w:r>
        <w:rPr>
          <w:sz w:val="22"/>
          <w:szCs w:val="22"/>
        </w:rPr>
        <w:t xml:space="preserve">• Stage 3 — Governed sources: press feeds, social listening corpora, broadcast/talk-show transcripts, official sites and international databases ingest via the connector layer only.</w:t>
      </w:r>
    </w:p>
    <w:p>
      <w:pPr>
        <w:spacing w:after="80"/>
        <w:ind w:left="360"/>
      </w:pPr>
      <w:r>
        <w:rPr>
          <w:sz w:val="22"/>
          <w:szCs w:val="22"/>
        </w:rPr>
        <w:t xml:space="preserve">• Stage 4 — Platform operations: source connectors normalize feeds, the report scheduler generates hourly/daily/weekly A4 templates, and audit logging records every query, source match and answer.</w:t>
      </w:r>
    </w:p>
    <w:p>
      <w:pPr>
        <w:spacing w:after="80"/>
        <w:ind w:left="360"/>
      </w:pPr>
      <w:r>
        <w:rPr>
          <w:sz w:val="22"/>
          <w:szCs w:val="22"/>
        </w:rPr>
        <w:t xml:space="preserve">• Stage 5 — Output: cited answers, briefing packs and alerts return to each audience through the hub — never from open-web grounding.</w:t>
      </w:r>
    </w:p>
    <w:p>
      <w:pPr>
        <w:pStyle w:val="Heading2"/>
        <w:spacing w:after="160" w:before="280"/>
      </w:pPr>
      <w:r>
        <w:rPr>
          <w:b/>
          <w:bCs/>
        </w:rPr>
        <w:t xml:space="preserve">A.6 Why now</w:t>
      </w:r>
    </w:p>
    <w:p>
      <w:pPr>
        <w:spacing w:after="80"/>
        <w:ind w:left="360"/>
      </w:pPr>
      <w:r>
        <w:rPr>
          <w:sz w:val="22"/>
          <w:szCs w:val="22"/>
        </w:rPr>
        <w:t xml:space="preserve">• The traditional monitoring market (example: Egypt Media Monitor) shows clear demand for clipping, listening and summaries — while on-demand cited intelligence does not yet scale across portfolios.</w:t>
      </w:r>
    </w:p>
    <w:p>
      <w:pPr>
        <w:spacing w:after="80"/>
        <w:ind w:left="360"/>
      </w:pPr>
      <w:r>
        <w:rPr>
          <w:sz w:val="22"/>
          <w:szCs w:val="22"/>
        </w:rPr>
        <w:t xml:space="preserve">• Client leadership gains a governed AI layer without fragmenting into per-account silos.</w:t>
      </w:r>
    </w:p>
    <w:p>
      <w:pPr>
        <w:spacing w:after="80"/>
        <w:ind w:left="360"/>
      </w:pPr>
      <w:r>
        <w:rPr>
          <w:sz w:val="22"/>
          <w:szCs w:val="22"/>
        </w:rPr>
        <w:t xml:space="preserve">• Managed cloud hosting delivers enterprise security and scalability without sovereign GPU capital expenditure.</w:t>
      </w:r>
    </w:p>
    <w:p>
      <w:pPr>
        <w:spacing w:after="80"/>
        <w:ind w:left="360"/>
      </w:pPr>
      <w:r>
        <w:rPr>
          <w:sz w:val="22"/>
          <w:szCs w:val="22"/>
        </w:rPr>
        <w:t xml:space="preserve">• A clear Phase 0–4 roadmap keeps Future Modules (A1–F1) honest — optional after pilot, never claimed as v1 live product.</w:t>
      </w:r>
    </w:p>
    <w:p>
      <w:pPr>
        <w:pStyle w:val="Heading2"/>
        <w:spacing w:after="160" w:before="280"/>
      </w:pPr>
      <w:r>
        <w:rPr>
          <w:b/>
          <w:bCs/>
        </w:rPr>
        <w:t xml:space="preserve">A.7 Closing ask</w:t>
      </w:r>
    </w:p>
    <w:p>
      <w:pPr>
        <w:spacing w:after="160"/>
      </w:pPr>
      <w:r>
        <w:rPr>
          <w:sz w:val="22"/>
          <w:szCs w:val="22"/>
        </w:rPr>
        <w:t xml:space="preserve">Approve a Phase 0 discovery workshop with Brandel IT/security, connector vendors and 1–2 pilot client champions to lock feed-access paths, tenancy model and a firm SoW for the centralized MediaBrain hub.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2026-08-05T08:05:51.321Z</dcterms:created>
  <dcterms:modified xsi:type="dcterms:W3CDTF">2026-08-05T08:05:51.322Z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